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1ADE" w:rsidRDefault="0029137F" w:rsidP="00926DDF">
      <w:pPr>
        <w:pStyle w:val="Heading2"/>
      </w:pPr>
      <w:r>
        <w:t>Proposal for the Formation of a Dual Credit Council</w:t>
      </w:r>
    </w:p>
    <w:p w14:paraId="00000002" w14:textId="77777777" w:rsidR="00521ADE" w:rsidRDefault="00521ADE">
      <w:pPr>
        <w:rPr>
          <w:rFonts w:ascii="Calibri" w:eastAsia="Calibri" w:hAnsi="Calibri" w:cs="Calibri"/>
        </w:rPr>
      </w:pPr>
    </w:p>
    <w:p w14:paraId="0F741894" w14:textId="67CE9DEF" w:rsidR="005D5397" w:rsidRDefault="005D5397">
      <w:pPr>
        <w:pStyle w:val="Heading4"/>
      </w:pPr>
      <w:r w:rsidRPr="00926DDF">
        <w:t>Background</w:t>
      </w:r>
    </w:p>
    <w:p w14:paraId="40696355" w14:textId="77777777" w:rsidR="00151680" w:rsidRPr="00151680" w:rsidRDefault="00151680" w:rsidP="00151680">
      <w:pPr>
        <w:rPr>
          <w:rFonts w:ascii="Franklin Gothic Book" w:hAnsi="Franklin Gothic Book"/>
        </w:rPr>
      </w:pPr>
      <w:r w:rsidRPr="00151680">
        <w:rPr>
          <w:rFonts w:ascii="Franklin Gothic Book" w:hAnsi="Franklin Gothic Book"/>
        </w:rPr>
        <w:t>Washington’s public colleges and universities have recognized dual credit programs for decades. Starting with the Carl D. Perkins Act of 1990, which emphasized Tech Prep (the precursor to Career and Technical Education Dual Credit, or CTE DC), the Washington State Legislature also created Running Start (RS) in 1990.</w:t>
      </w:r>
    </w:p>
    <w:p w14:paraId="261497AF" w14:textId="77777777" w:rsidR="00151680" w:rsidRPr="00151680" w:rsidRDefault="00151680" w:rsidP="00151680">
      <w:pPr>
        <w:rPr>
          <w:rFonts w:ascii="Franklin Gothic Book" w:hAnsi="Franklin Gothic Book"/>
        </w:rPr>
      </w:pPr>
    </w:p>
    <w:p w14:paraId="7F0BEC50" w14:textId="77777777" w:rsidR="00151680" w:rsidRPr="00151680" w:rsidRDefault="00151680" w:rsidP="00151680">
      <w:pPr>
        <w:rPr>
          <w:rFonts w:ascii="Franklin Gothic Book" w:hAnsi="Franklin Gothic Book"/>
        </w:rPr>
      </w:pPr>
      <w:r w:rsidRPr="00151680">
        <w:rPr>
          <w:rFonts w:ascii="Franklin Gothic Book" w:hAnsi="Franklin Gothic Book"/>
        </w:rPr>
        <w:t>Over the past fifteen years, the Washington Legislature has passed numerous bills to increase access to dual credit programs for high school students:</w:t>
      </w:r>
    </w:p>
    <w:p w14:paraId="0775ADCE" w14:textId="77777777" w:rsidR="00151680" w:rsidRPr="00151680" w:rsidRDefault="00151680" w:rsidP="00151680">
      <w:pPr>
        <w:rPr>
          <w:rFonts w:ascii="Franklin Gothic Book" w:hAnsi="Franklin Gothic Book"/>
        </w:rPr>
      </w:pPr>
    </w:p>
    <w:p w14:paraId="48996B50" w14:textId="77777777" w:rsidR="00151680" w:rsidRPr="00151680" w:rsidRDefault="00151680" w:rsidP="00151680">
      <w:pPr>
        <w:pStyle w:val="ListParagraph"/>
        <w:numPr>
          <w:ilvl w:val="0"/>
          <w:numId w:val="7"/>
        </w:numPr>
        <w:rPr>
          <w:rFonts w:ascii="Franklin Gothic Book" w:hAnsi="Franklin Gothic Book"/>
        </w:rPr>
      </w:pPr>
      <w:r w:rsidRPr="00151680">
        <w:rPr>
          <w:rFonts w:ascii="Franklin Gothic Book" w:hAnsi="Franklin Gothic Book"/>
        </w:rPr>
        <w:t xml:space="preserve">2011: The Launch Year Program (RCW 28B.10.053) was implemented to provide </w:t>
      </w:r>
      <w:proofErr w:type="gramStart"/>
      <w:r w:rsidRPr="00151680">
        <w:rPr>
          <w:rFonts w:ascii="Franklin Gothic Book" w:hAnsi="Franklin Gothic Book"/>
        </w:rPr>
        <w:t>students</w:t>
      </w:r>
      <w:proofErr w:type="gramEnd"/>
      <w:r w:rsidRPr="00151680">
        <w:rPr>
          <w:rFonts w:ascii="Franklin Gothic Book" w:hAnsi="Franklin Gothic Book"/>
        </w:rPr>
        <w:t xml:space="preserve"> the opportunity to earn the equivalent of one year’s worth of postsecondary credit toward a credential.</w:t>
      </w:r>
    </w:p>
    <w:p w14:paraId="29737D7B" w14:textId="77777777" w:rsidR="00151680" w:rsidRPr="00151680" w:rsidRDefault="00151680" w:rsidP="00151680">
      <w:pPr>
        <w:rPr>
          <w:rFonts w:ascii="Franklin Gothic Book" w:hAnsi="Franklin Gothic Book"/>
        </w:rPr>
      </w:pPr>
    </w:p>
    <w:p w14:paraId="40B6ADBC" w14:textId="77777777" w:rsidR="00151680" w:rsidRPr="00151680" w:rsidRDefault="00151680" w:rsidP="00151680">
      <w:pPr>
        <w:pStyle w:val="ListParagraph"/>
        <w:numPr>
          <w:ilvl w:val="0"/>
          <w:numId w:val="7"/>
        </w:numPr>
        <w:rPr>
          <w:rFonts w:ascii="Franklin Gothic Book" w:hAnsi="Franklin Gothic Book"/>
        </w:rPr>
      </w:pPr>
      <w:r w:rsidRPr="00151680">
        <w:rPr>
          <w:rFonts w:ascii="Franklin Gothic Book" w:hAnsi="Franklin Gothic Book"/>
        </w:rPr>
        <w:t>2015: RCW 28A.600.287 defined College in the High School (</w:t>
      </w:r>
      <w:proofErr w:type="spellStart"/>
      <w:r w:rsidRPr="00151680">
        <w:rPr>
          <w:rFonts w:ascii="Franklin Gothic Book" w:hAnsi="Franklin Gothic Book"/>
        </w:rPr>
        <w:t>CiHS</w:t>
      </w:r>
      <w:proofErr w:type="spellEnd"/>
      <w:r w:rsidRPr="00151680">
        <w:rPr>
          <w:rFonts w:ascii="Franklin Gothic Book" w:hAnsi="Franklin Gothic Book"/>
        </w:rPr>
        <w:t>) in statute, differentiating it from RS.</w:t>
      </w:r>
    </w:p>
    <w:p w14:paraId="28AFD1F0" w14:textId="77777777" w:rsidR="00151680" w:rsidRPr="00151680" w:rsidRDefault="00151680" w:rsidP="00151680">
      <w:pPr>
        <w:rPr>
          <w:rFonts w:ascii="Franklin Gothic Book" w:hAnsi="Franklin Gothic Book"/>
        </w:rPr>
      </w:pPr>
    </w:p>
    <w:p w14:paraId="3B33DEB0" w14:textId="77777777" w:rsidR="00151680" w:rsidRPr="00151680" w:rsidRDefault="00151680" w:rsidP="00151680">
      <w:pPr>
        <w:pStyle w:val="ListParagraph"/>
        <w:numPr>
          <w:ilvl w:val="0"/>
          <w:numId w:val="7"/>
        </w:numPr>
        <w:rPr>
          <w:rFonts w:ascii="Franklin Gothic Book" w:hAnsi="Franklin Gothic Book"/>
        </w:rPr>
      </w:pPr>
      <w:r w:rsidRPr="00151680">
        <w:rPr>
          <w:rFonts w:ascii="Franklin Gothic Book" w:hAnsi="Franklin Gothic Book"/>
        </w:rPr>
        <w:t xml:space="preserve">2019 and 2021: Legislation required all </w:t>
      </w:r>
      <w:proofErr w:type="spellStart"/>
      <w:r w:rsidRPr="00151680">
        <w:rPr>
          <w:rFonts w:ascii="Franklin Gothic Book" w:hAnsi="Franklin Gothic Book"/>
        </w:rPr>
        <w:t>CiHS</w:t>
      </w:r>
      <w:proofErr w:type="spellEnd"/>
      <w:r w:rsidRPr="00151680">
        <w:rPr>
          <w:rFonts w:ascii="Franklin Gothic Book" w:hAnsi="Franklin Gothic Book"/>
        </w:rPr>
        <w:t xml:space="preserve"> programs offered by any higher education institution in Washington to be nationally accredited by 2027-28, established a Dual Enrollment Scholarship Pilot Program, a RS Summer School Pilot Program, and expanded student eligibility for </w:t>
      </w:r>
      <w:proofErr w:type="spellStart"/>
      <w:r w:rsidRPr="00151680">
        <w:rPr>
          <w:rFonts w:ascii="Franklin Gothic Book" w:hAnsi="Franklin Gothic Book"/>
        </w:rPr>
        <w:t>CiHS</w:t>
      </w:r>
      <w:proofErr w:type="spellEnd"/>
      <w:r w:rsidRPr="00151680">
        <w:rPr>
          <w:rFonts w:ascii="Franklin Gothic Book" w:hAnsi="Franklin Gothic Book"/>
        </w:rPr>
        <w:t>.</w:t>
      </w:r>
    </w:p>
    <w:p w14:paraId="7C78B0FE" w14:textId="77777777" w:rsidR="00151680" w:rsidRPr="00151680" w:rsidRDefault="00151680" w:rsidP="00151680">
      <w:pPr>
        <w:rPr>
          <w:rFonts w:ascii="Franklin Gothic Book" w:hAnsi="Franklin Gothic Book"/>
        </w:rPr>
      </w:pPr>
    </w:p>
    <w:p w14:paraId="3F72CD4C" w14:textId="7D66016F" w:rsidR="001833D0" w:rsidRPr="00151680" w:rsidRDefault="00151680" w:rsidP="00151680">
      <w:pPr>
        <w:pStyle w:val="ListParagraph"/>
        <w:numPr>
          <w:ilvl w:val="0"/>
          <w:numId w:val="7"/>
        </w:numPr>
        <w:rPr>
          <w:rFonts w:ascii="Franklin Gothic Book" w:eastAsia="Calibri" w:hAnsi="Franklin Gothic Book" w:cs="Calibri"/>
        </w:rPr>
      </w:pPr>
      <w:r w:rsidRPr="00151680">
        <w:rPr>
          <w:rFonts w:ascii="Franklin Gothic Book" w:hAnsi="Franklin Gothic Book"/>
        </w:rPr>
        <w:t xml:space="preserve">2023 and 2024: Further investments included eliminating </w:t>
      </w:r>
      <w:proofErr w:type="spellStart"/>
      <w:r w:rsidRPr="00151680">
        <w:rPr>
          <w:rFonts w:ascii="Franklin Gothic Book" w:hAnsi="Franklin Gothic Book"/>
        </w:rPr>
        <w:t>CiHS</w:t>
      </w:r>
      <w:proofErr w:type="spellEnd"/>
      <w:r w:rsidRPr="00151680">
        <w:rPr>
          <w:rFonts w:ascii="Franklin Gothic Book" w:hAnsi="Franklin Gothic Book"/>
        </w:rPr>
        <w:t xml:space="preserve"> fees for all students (RCW 28A.600.287), expanding RS to the summer term (RCW 28A.600.40), increasing notification about dual credit to families (RCW 28A.600.275), and introducing new reporting requirements (RCW 28A.600.280).</w:t>
      </w:r>
    </w:p>
    <w:p w14:paraId="1E0BA41E" w14:textId="22FB84F9" w:rsidR="001833D0" w:rsidRDefault="001833D0" w:rsidP="00926DDF">
      <w:pPr>
        <w:jc w:val="center"/>
        <w:rPr>
          <w:rFonts w:ascii="Calibri" w:eastAsia="Calibri" w:hAnsi="Calibri" w:cs="Calibri"/>
        </w:rPr>
      </w:pPr>
      <w:r>
        <w:rPr>
          <w:noProof/>
        </w:rPr>
        <w:lastRenderedPageBreak/>
        <w:drawing>
          <wp:inline distT="0" distB="0" distL="0" distR="0" wp14:anchorId="2628FCE1" wp14:editId="6AF6677D">
            <wp:extent cx="4572000" cy="2743200"/>
            <wp:effectExtent l="0" t="0" r="0" b="0"/>
            <wp:docPr id="1666585947" name="Chart 1">
              <a:extLst xmlns:a="http://schemas.openxmlformats.org/drawingml/2006/main">
                <a:ext uri="{FF2B5EF4-FFF2-40B4-BE49-F238E27FC236}">
                  <a16:creationId xmlns:a16="http://schemas.microsoft.com/office/drawing/2014/main" id="{398E5438-7D54-126D-D369-8262ACB57C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9F0AEC" w14:textId="434FBEAF" w:rsidR="001833D0" w:rsidRPr="00926DDF" w:rsidRDefault="001833D0" w:rsidP="004976D7">
      <w:pPr>
        <w:ind w:left="1110"/>
        <w:rPr>
          <w:rFonts w:ascii="Franklin Gothic Book" w:eastAsia="Calibri" w:hAnsi="Franklin Gothic Book" w:cs="Calibri"/>
        </w:rPr>
      </w:pPr>
      <w:r w:rsidRPr="00926DDF">
        <w:rPr>
          <w:rFonts w:ascii="Franklin Gothic Book" w:eastAsia="Calibri" w:hAnsi="Franklin Gothic Book" w:cs="Calibri"/>
        </w:rPr>
        <w:t>Source:</w:t>
      </w:r>
      <w:r w:rsidR="006127B9">
        <w:rPr>
          <w:rFonts w:ascii="Franklin Gothic Book" w:eastAsia="Calibri" w:hAnsi="Franklin Gothic Book" w:cs="Calibri"/>
        </w:rPr>
        <w:t xml:space="preserve"> </w:t>
      </w:r>
      <w:r w:rsidRPr="00926DDF">
        <w:rPr>
          <w:rFonts w:ascii="Franklin Gothic Book" w:eastAsia="Calibri" w:hAnsi="Franklin Gothic Book" w:cs="Calibri"/>
        </w:rPr>
        <w:t xml:space="preserve">Education Research &amp; Data Center.  </w:t>
      </w:r>
      <w:hyperlink r:id="rId8" w:history="1">
        <w:r w:rsidR="004976D7" w:rsidRPr="004976D7">
          <w:rPr>
            <w:rStyle w:val="Hyperlink"/>
            <w:rFonts w:ascii="Franklin Gothic Book" w:eastAsia="Calibri" w:hAnsi="Franklin Gothic Book" w:cs="Calibri"/>
          </w:rPr>
          <w:t>https://erdc.wa.gov/publications-and-reports/dual-credit-dashboard</w:t>
        </w:r>
      </w:hyperlink>
      <w:r w:rsidR="00294F28" w:rsidRPr="00926DDF">
        <w:rPr>
          <w:rFonts w:ascii="Franklin Gothic Book" w:eastAsia="Calibri" w:hAnsi="Franklin Gothic Book" w:cs="Calibri"/>
        </w:rPr>
        <w:tab/>
      </w:r>
    </w:p>
    <w:p w14:paraId="15359952" w14:textId="77777777" w:rsidR="00A31033" w:rsidRDefault="00A31033">
      <w:pPr>
        <w:rPr>
          <w:rFonts w:ascii="Calibri" w:eastAsia="Calibri" w:hAnsi="Calibri" w:cs="Calibri"/>
        </w:rPr>
      </w:pPr>
    </w:p>
    <w:p w14:paraId="67101BAF" w14:textId="5EA8ECEF" w:rsidR="00294F28" w:rsidRPr="00926DDF" w:rsidRDefault="00294F28">
      <w:pPr>
        <w:rPr>
          <w:rFonts w:ascii="Franklin Gothic Book" w:eastAsia="Calibri" w:hAnsi="Franklin Gothic Book" w:cs="Calibri"/>
        </w:rPr>
      </w:pPr>
      <w:r w:rsidRPr="00926DDF">
        <w:rPr>
          <w:rFonts w:ascii="Franklin Gothic Book" w:eastAsia="Calibri" w:hAnsi="Franklin Gothic Book" w:cs="Calibri"/>
        </w:rPr>
        <w:t xml:space="preserve">Currently, 90% of Washington public high school students enroll in a dual credit course, with </w:t>
      </w:r>
      <w:r w:rsidR="005C57A2">
        <w:rPr>
          <w:rFonts w:ascii="Franklin Gothic Book" w:eastAsia="Calibri" w:hAnsi="Franklin Gothic Book" w:cs="Calibri"/>
        </w:rPr>
        <w:t xml:space="preserve">tens of thousands of students participating in RS, </w:t>
      </w:r>
      <w:proofErr w:type="spellStart"/>
      <w:r w:rsidR="005C57A2">
        <w:rPr>
          <w:rFonts w:ascii="Franklin Gothic Book" w:eastAsia="Calibri" w:hAnsi="Franklin Gothic Book" w:cs="Calibri"/>
        </w:rPr>
        <w:t>CiHS</w:t>
      </w:r>
      <w:proofErr w:type="spellEnd"/>
      <w:r w:rsidR="005C57A2">
        <w:rPr>
          <w:rFonts w:ascii="Franklin Gothic Book" w:eastAsia="Calibri" w:hAnsi="Franklin Gothic Book" w:cs="Calibri"/>
        </w:rPr>
        <w:t xml:space="preserve">, and CTE Dual credit </w:t>
      </w:r>
      <w:r w:rsidR="00926DDF">
        <w:rPr>
          <w:rFonts w:ascii="Franklin Gothic Book" w:eastAsia="Calibri" w:hAnsi="Franklin Gothic Book" w:cs="Calibri"/>
        </w:rPr>
        <w:t xml:space="preserve">within the </w:t>
      </w:r>
      <w:proofErr w:type="spellStart"/>
      <w:r w:rsidR="00926DDF">
        <w:rPr>
          <w:rFonts w:ascii="Franklin Gothic Book" w:eastAsia="Calibri" w:hAnsi="Franklin Gothic Book" w:cs="Calibri"/>
        </w:rPr>
        <w:t>ctc</w:t>
      </w:r>
      <w:proofErr w:type="spellEnd"/>
      <w:r w:rsidR="00926DDF">
        <w:rPr>
          <w:rFonts w:ascii="Franklin Gothic Book" w:eastAsia="Calibri" w:hAnsi="Franklin Gothic Book" w:cs="Calibri"/>
        </w:rPr>
        <w:t xml:space="preserve"> system</w:t>
      </w:r>
      <w:r w:rsidR="009863C7">
        <w:rPr>
          <w:rFonts w:ascii="Franklin Gothic Book" w:eastAsia="Calibri" w:hAnsi="Franklin Gothic Book" w:cs="Calibri"/>
        </w:rPr>
        <w:t>(further statewide data can be viewed at</w:t>
      </w:r>
      <w:r w:rsidR="009863C7" w:rsidRPr="00926DDF">
        <w:rPr>
          <w:rFonts w:ascii="Franklin Gothic Book" w:eastAsia="Calibri" w:hAnsi="Franklin Gothic Book" w:cs="Calibri"/>
        </w:rPr>
        <w:t xml:space="preserve"> </w:t>
      </w:r>
      <w:hyperlink r:id="rId9" w:history="1">
        <w:r w:rsidR="009863C7" w:rsidRPr="00926DDF">
          <w:rPr>
            <w:rStyle w:val="Hyperlink"/>
            <w:rFonts w:ascii="Franklin Gothic Book" w:eastAsia="Calibri" w:hAnsi="Franklin Gothic Book" w:cs="Calibri"/>
          </w:rPr>
          <w:t>https://erdc.wa.gov/publications-and-reports/dual-credit-dashboard</w:t>
        </w:r>
      </w:hyperlink>
      <w:r w:rsidR="009863C7">
        <w:rPr>
          <w:rFonts w:ascii="Franklin Gothic Book" w:eastAsia="Calibri" w:hAnsi="Franklin Gothic Book" w:cs="Calibri"/>
        </w:rPr>
        <w:t xml:space="preserve">) </w:t>
      </w:r>
    </w:p>
    <w:p w14:paraId="1F407004" w14:textId="77777777" w:rsidR="00294F28" w:rsidRDefault="00294F28">
      <w:pPr>
        <w:rPr>
          <w:rFonts w:ascii="Calibri" w:eastAsia="Calibri" w:hAnsi="Calibri" w:cs="Calibri"/>
        </w:rPr>
      </w:pPr>
    </w:p>
    <w:p w14:paraId="00000003" w14:textId="72C0B025" w:rsidR="00521ADE" w:rsidRPr="009863C7" w:rsidRDefault="005D5397">
      <w:pPr>
        <w:rPr>
          <w:rFonts w:ascii="Franklin Gothic Book" w:eastAsia="Calibri" w:hAnsi="Franklin Gothic Book" w:cs="Calibri"/>
        </w:rPr>
      </w:pPr>
      <w:r w:rsidRPr="009863C7">
        <w:rPr>
          <w:rFonts w:ascii="Franklin Gothic Book" w:eastAsia="Calibri" w:hAnsi="Franklin Gothic Book" w:cs="Calibri"/>
        </w:rPr>
        <w:t>D</w:t>
      </w:r>
      <w:r w:rsidR="0029137F" w:rsidRPr="009863C7">
        <w:rPr>
          <w:rFonts w:ascii="Franklin Gothic Book" w:eastAsia="Calibri" w:hAnsi="Franklin Gothic Book" w:cs="Calibri"/>
        </w:rPr>
        <w:t xml:space="preserve">ual credit programs have proven to be highly effective in boosting postsecondary </w:t>
      </w:r>
      <w:r w:rsidRPr="009863C7">
        <w:rPr>
          <w:rFonts w:ascii="Franklin Gothic Book" w:eastAsia="Calibri" w:hAnsi="Franklin Gothic Book" w:cs="Calibri"/>
        </w:rPr>
        <w:t>persistence and supporting student success</w:t>
      </w:r>
      <w:r w:rsidR="0029137F" w:rsidRPr="009863C7">
        <w:rPr>
          <w:rFonts w:ascii="Franklin Gothic Book" w:eastAsia="Calibri" w:hAnsi="Franklin Gothic Book" w:cs="Calibri"/>
        </w:rPr>
        <w:t xml:space="preserve">. </w:t>
      </w:r>
    </w:p>
    <w:p w14:paraId="00000004" w14:textId="77777777" w:rsidR="00521ADE" w:rsidRPr="009863C7" w:rsidRDefault="00521ADE">
      <w:pPr>
        <w:rPr>
          <w:rFonts w:ascii="Franklin Gothic Book" w:eastAsia="Calibri" w:hAnsi="Franklin Gothic Book" w:cs="Calibri"/>
          <w:b/>
        </w:rPr>
      </w:pPr>
    </w:p>
    <w:p w14:paraId="00000007" w14:textId="64902FC7" w:rsidR="00521ADE" w:rsidRPr="009863C7" w:rsidRDefault="0029137F">
      <w:pPr>
        <w:rPr>
          <w:rFonts w:ascii="Franklin Gothic Book" w:eastAsia="Calibri" w:hAnsi="Franklin Gothic Book" w:cs="Calibri"/>
        </w:rPr>
      </w:pPr>
      <w:r w:rsidRPr="009863C7">
        <w:rPr>
          <w:rFonts w:ascii="Franklin Gothic Book" w:eastAsia="Calibri" w:hAnsi="Franklin Gothic Book" w:cs="Calibri"/>
          <w:b/>
        </w:rPr>
        <w:t>Postsecondary Persistence:</w:t>
      </w:r>
      <w:r w:rsidRPr="009863C7">
        <w:rPr>
          <w:rFonts w:ascii="Franklin Gothic Book" w:eastAsia="Calibri" w:hAnsi="Franklin Gothic Book" w:cs="Calibri"/>
        </w:rPr>
        <w:t xml:space="preserve"> 27% of </w:t>
      </w:r>
      <w:proofErr w:type="spellStart"/>
      <w:r w:rsidRPr="009863C7">
        <w:rPr>
          <w:rFonts w:ascii="Franklin Gothic Book" w:eastAsia="Calibri" w:hAnsi="Franklin Gothic Book" w:cs="Calibri"/>
        </w:rPr>
        <w:t>CiHS</w:t>
      </w:r>
      <w:proofErr w:type="spellEnd"/>
      <w:r w:rsidRPr="009863C7">
        <w:rPr>
          <w:rFonts w:ascii="Franklin Gothic Book" w:eastAsia="Calibri" w:hAnsi="Franklin Gothic Book" w:cs="Calibri"/>
        </w:rPr>
        <w:t xml:space="preserve"> students from the Class of 2022 who enrolled for credit at a community or technical college (CTC) returned to a CTC within one year after graduating high school.</w:t>
      </w:r>
    </w:p>
    <w:p w14:paraId="00000008" w14:textId="77777777" w:rsidR="00521ADE" w:rsidRPr="009863C7" w:rsidRDefault="00521ADE">
      <w:pPr>
        <w:rPr>
          <w:rFonts w:ascii="Franklin Gothic Book" w:eastAsia="Calibri" w:hAnsi="Franklin Gothic Book" w:cs="Calibri"/>
        </w:rPr>
      </w:pPr>
    </w:p>
    <w:p w14:paraId="119F467C" w14:textId="2F55890C" w:rsidR="005D5397" w:rsidRPr="009863C7" w:rsidRDefault="005D5397">
      <w:pPr>
        <w:rPr>
          <w:rFonts w:ascii="Franklin Gothic Book" w:eastAsia="Calibri" w:hAnsi="Franklin Gothic Book" w:cs="Calibri"/>
          <w:b/>
          <w:bCs/>
        </w:rPr>
      </w:pPr>
      <w:proofErr w:type="gramStart"/>
      <w:r w:rsidRPr="009863C7">
        <w:rPr>
          <w:rFonts w:ascii="Franklin Gothic Book" w:eastAsia="Calibri" w:hAnsi="Franklin Gothic Book" w:cs="Calibri"/>
          <w:b/>
          <w:bCs/>
        </w:rPr>
        <w:t>Postsecondary</w:t>
      </w:r>
      <w:proofErr w:type="gramEnd"/>
      <w:r w:rsidRPr="009863C7">
        <w:rPr>
          <w:rFonts w:ascii="Franklin Gothic Book" w:eastAsia="Calibri" w:hAnsi="Franklin Gothic Book" w:cs="Calibri"/>
          <w:b/>
          <w:bCs/>
        </w:rPr>
        <w:t xml:space="preserve"> Success:</w:t>
      </w:r>
    </w:p>
    <w:p w14:paraId="00000009" w14:textId="77777777" w:rsidR="00521ADE" w:rsidRPr="009863C7" w:rsidRDefault="0029137F">
      <w:pPr>
        <w:widowControl w:val="0"/>
        <w:numPr>
          <w:ilvl w:val="0"/>
          <w:numId w:val="2"/>
        </w:numPr>
        <w:spacing w:before="200" w:line="216" w:lineRule="auto"/>
        <w:ind w:hanging="120"/>
        <w:rPr>
          <w:rFonts w:ascii="Franklin Gothic Book" w:eastAsia="Calibri" w:hAnsi="Franklin Gothic Book" w:cs="Calibri"/>
        </w:rPr>
      </w:pPr>
      <w:proofErr w:type="spellStart"/>
      <w:r w:rsidRPr="009863C7">
        <w:rPr>
          <w:rFonts w:ascii="Franklin Gothic Book" w:eastAsia="Calibri" w:hAnsi="Franklin Gothic Book" w:cs="Calibri"/>
        </w:rPr>
        <w:t>CiHS</w:t>
      </w:r>
      <w:proofErr w:type="spellEnd"/>
      <w:r w:rsidRPr="009863C7">
        <w:rPr>
          <w:rFonts w:ascii="Franklin Gothic Book" w:eastAsia="Calibri" w:hAnsi="Franklin Gothic Book" w:cs="Calibri"/>
        </w:rPr>
        <w:t xml:space="preserve"> students in Washington had a course success rate of 96% at the community or technical college with a 2.0 decimal grade or above. </w:t>
      </w:r>
    </w:p>
    <w:p w14:paraId="0000000A" w14:textId="14811FDD" w:rsidR="00521ADE" w:rsidRPr="009863C7" w:rsidRDefault="00A102AF">
      <w:pPr>
        <w:widowControl w:val="0"/>
        <w:numPr>
          <w:ilvl w:val="0"/>
          <w:numId w:val="2"/>
        </w:numPr>
        <w:spacing w:before="200" w:line="216" w:lineRule="auto"/>
        <w:ind w:hanging="120"/>
        <w:rPr>
          <w:rFonts w:ascii="Franklin Gothic Book" w:eastAsia="Calibri" w:hAnsi="Franklin Gothic Book" w:cs="Calibri"/>
        </w:rPr>
      </w:pPr>
      <w:r w:rsidRPr="009863C7">
        <w:rPr>
          <w:rFonts w:ascii="Franklin Gothic Book" w:eastAsia="Calibri" w:hAnsi="Franklin Gothic Book" w:cs="Calibri"/>
        </w:rPr>
        <w:t>RS</w:t>
      </w:r>
      <w:r w:rsidR="0029137F" w:rsidRPr="009863C7">
        <w:rPr>
          <w:rFonts w:ascii="Franklin Gothic Book" w:eastAsia="Calibri" w:hAnsi="Franklin Gothic Book" w:cs="Calibri"/>
        </w:rPr>
        <w:t xml:space="preserve"> students in Washington passed 94% of their courses at the community or technical college and earned a 2.0 or better in 88% of their courses.</w:t>
      </w:r>
    </w:p>
    <w:p w14:paraId="0000000B" w14:textId="285B31E3" w:rsidR="00521ADE" w:rsidRPr="009863C7" w:rsidRDefault="0029137F">
      <w:pPr>
        <w:widowControl w:val="0"/>
        <w:numPr>
          <w:ilvl w:val="0"/>
          <w:numId w:val="2"/>
        </w:numPr>
        <w:spacing w:before="200" w:line="216" w:lineRule="auto"/>
        <w:ind w:hanging="120"/>
        <w:rPr>
          <w:rFonts w:ascii="Franklin Gothic Book" w:eastAsia="Calibri" w:hAnsi="Franklin Gothic Book" w:cs="Calibri"/>
        </w:rPr>
      </w:pPr>
      <w:r w:rsidRPr="009863C7">
        <w:rPr>
          <w:rFonts w:ascii="Franklin Gothic Book" w:eastAsia="Calibri" w:hAnsi="Franklin Gothic Book" w:cs="Calibri"/>
        </w:rPr>
        <w:t xml:space="preserve">In the class of 2023, 24% of students who participated in </w:t>
      </w:r>
      <w:r w:rsidR="00A102AF" w:rsidRPr="009863C7">
        <w:rPr>
          <w:rFonts w:ascii="Franklin Gothic Book" w:eastAsia="Calibri" w:hAnsi="Franklin Gothic Book" w:cs="Calibri"/>
        </w:rPr>
        <w:t>RS</w:t>
      </w:r>
      <w:r w:rsidRPr="009863C7">
        <w:rPr>
          <w:rFonts w:ascii="Franklin Gothic Book" w:eastAsia="Calibri" w:hAnsi="Franklin Gothic Book" w:cs="Calibri"/>
        </w:rPr>
        <w:t xml:space="preserve"> in a Washington community or technical college earned a credential while in the program.</w:t>
      </w:r>
    </w:p>
    <w:p w14:paraId="0000000C" w14:textId="77777777" w:rsidR="00521ADE" w:rsidRPr="009863C7" w:rsidRDefault="00521ADE">
      <w:pPr>
        <w:rPr>
          <w:rFonts w:ascii="Franklin Gothic Book" w:eastAsia="Calibri" w:hAnsi="Franklin Gothic Book" w:cs="Calibri"/>
        </w:rPr>
      </w:pPr>
    </w:p>
    <w:p w14:paraId="5D7A40FE" w14:textId="1410EB69" w:rsidR="006B3AC6" w:rsidRPr="009863C7" w:rsidRDefault="00A102AF" w:rsidP="006B3AC6">
      <w:pPr>
        <w:rPr>
          <w:rFonts w:ascii="Franklin Gothic Book" w:eastAsia="Calibri" w:hAnsi="Franklin Gothic Book" w:cs="Calibri"/>
          <w:b/>
          <w:bCs/>
        </w:rPr>
      </w:pPr>
      <w:r w:rsidRPr="009863C7">
        <w:rPr>
          <w:rFonts w:ascii="Franklin Gothic Book" w:eastAsia="Calibri" w:hAnsi="Franklin Gothic Book" w:cs="Calibri"/>
          <w:bCs/>
        </w:rPr>
        <w:t>RS</w:t>
      </w:r>
      <w:r w:rsidR="00A973EB" w:rsidRPr="009863C7">
        <w:rPr>
          <w:rFonts w:ascii="Franklin Gothic Book" w:eastAsia="Calibri" w:hAnsi="Franklin Gothic Book" w:cs="Calibri"/>
          <w:bCs/>
        </w:rPr>
        <w:t xml:space="preserve"> has</w:t>
      </w:r>
      <w:r w:rsidR="005D5397" w:rsidRPr="009863C7">
        <w:rPr>
          <w:rFonts w:ascii="Franklin Gothic Book" w:eastAsia="Calibri" w:hAnsi="Franklin Gothic Book" w:cs="Calibri"/>
        </w:rPr>
        <w:t xml:space="preserve"> become an important source of revenue for </w:t>
      </w:r>
      <w:r w:rsidRPr="009863C7">
        <w:rPr>
          <w:rFonts w:ascii="Franklin Gothic Book" w:eastAsia="Calibri" w:hAnsi="Franklin Gothic Book" w:cs="Calibri"/>
        </w:rPr>
        <w:t>CTCs</w:t>
      </w:r>
      <w:r w:rsidR="006B3AC6" w:rsidRPr="009863C7">
        <w:rPr>
          <w:rFonts w:ascii="Franklin Gothic Book" w:eastAsia="Calibri" w:hAnsi="Franklin Gothic Book" w:cs="Calibri"/>
        </w:rPr>
        <w:t>,</w:t>
      </w:r>
      <w:r w:rsidR="0029137F" w:rsidRPr="009863C7">
        <w:rPr>
          <w:rFonts w:ascii="Franklin Gothic Book" w:eastAsia="Calibri" w:hAnsi="Franklin Gothic Book" w:cs="Calibri"/>
        </w:rPr>
        <w:t xml:space="preserve"> generat</w:t>
      </w:r>
      <w:r w:rsidR="006B3AC6" w:rsidRPr="009863C7">
        <w:rPr>
          <w:rFonts w:ascii="Franklin Gothic Book" w:eastAsia="Calibri" w:hAnsi="Franklin Gothic Book" w:cs="Calibri"/>
        </w:rPr>
        <w:t>ing</w:t>
      </w:r>
      <w:r w:rsidR="0029137F" w:rsidRPr="009863C7">
        <w:rPr>
          <w:rFonts w:ascii="Franklin Gothic Book" w:eastAsia="Calibri" w:hAnsi="Franklin Gothic Book" w:cs="Calibri"/>
        </w:rPr>
        <w:t xml:space="preserve"> $217M in revenue for the college system in 2024.</w:t>
      </w:r>
      <w:r w:rsidR="00C13FF8" w:rsidRPr="009863C7">
        <w:rPr>
          <w:rFonts w:ascii="Franklin Gothic Book" w:eastAsia="Calibri" w:hAnsi="Franklin Gothic Book" w:cs="Calibri"/>
        </w:rPr>
        <w:t xml:space="preserve">  Colleges have become reliant upon this funding </w:t>
      </w:r>
      <w:r w:rsidRPr="009863C7">
        <w:rPr>
          <w:rFonts w:ascii="Franklin Gothic Book" w:eastAsia="Calibri" w:hAnsi="Franklin Gothic Book" w:cs="Calibri"/>
        </w:rPr>
        <w:t xml:space="preserve">so there is a need to manage RS enrollment.  The current funding for </w:t>
      </w:r>
      <w:proofErr w:type="spellStart"/>
      <w:r w:rsidRPr="009863C7">
        <w:rPr>
          <w:rFonts w:ascii="Franklin Gothic Book" w:eastAsia="Calibri" w:hAnsi="Franklin Gothic Book" w:cs="Calibri"/>
        </w:rPr>
        <w:t>CiHS</w:t>
      </w:r>
      <w:proofErr w:type="spellEnd"/>
      <w:r w:rsidRPr="009863C7">
        <w:rPr>
          <w:rFonts w:ascii="Franklin Gothic Book" w:eastAsia="Calibri" w:hAnsi="Franklin Gothic Book" w:cs="Calibri"/>
        </w:rPr>
        <w:t xml:space="preserve"> is insufficient to sustain healthy programs and additional advocacy is needed to address the funding gaps.  There is an opportunity to advocate for </w:t>
      </w:r>
      <w:r w:rsidR="00980E47">
        <w:rPr>
          <w:rFonts w:ascii="Franklin Gothic Book" w:eastAsia="Calibri" w:hAnsi="Franklin Gothic Book" w:cs="Calibri"/>
        </w:rPr>
        <w:t>funding to support CTE D</w:t>
      </w:r>
      <w:r w:rsidR="00300C9C">
        <w:rPr>
          <w:rFonts w:ascii="Franklin Gothic Book" w:eastAsia="Calibri" w:hAnsi="Franklin Gothic Book" w:cs="Calibri"/>
        </w:rPr>
        <w:t xml:space="preserve">ual </w:t>
      </w:r>
      <w:r w:rsidR="00980E47">
        <w:rPr>
          <w:rFonts w:ascii="Franklin Gothic Book" w:eastAsia="Calibri" w:hAnsi="Franklin Gothic Book" w:cs="Calibri"/>
        </w:rPr>
        <w:t>C</w:t>
      </w:r>
      <w:r w:rsidR="00300C9C">
        <w:rPr>
          <w:rFonts w:ascii="Franklin Gothic Book" w:eastAsia="Calibri" w:hAnsi="Franklin Gothic Book" w:cs="Calibri"/>
        </w:rPr>
        <w:t>redit</w:t>
      </w:r>
      <w:r w:rsidR="00980E47">
        <w:rPr>
          <w:rFonts w:ascii="Franklin Gothic Book" w:eastAsia="Calibri" w:hAnsi="Franklin Gothic Book" w:cs="Calibri"/>
        </w:rPr>
        <w:t>.</w:t>
      </w:r>
    </w:p>
    <w:p w14:paraId="72FA7919" w14:textId="4A59435E" w:rsidR="006B3AC6" w:rsidRPr="009863C7" w:rsidRDefault="006B3AC6" w:rsidP="009863C7">
      <w:pPr>
        <w:pStyle w:val="Heading4"/>
        <w:rPr>
          <w:rFonts w:ascii="Franklin Gothic Book" w:hAnsi="Franklin Gothic Book"/>
          <w:sz w:val="22"/>
          <w:szCs w:val="22"/>
        </w:rPr>
      </w:pPr>
      <w:r w:rsidRPr="009863C7">
        <w:rPr>
          <w:rFonts w:ascii="Franklin Gothic Book" w:hAnsi="Franklin Gothic Book"/>
          <w:sz w:val="22"/>
          <w:szCs w:val="22"/>
        </w:rPr>
        <w:lastRenderedPageBreak/>
        <w:t>Problem</w:t>
      </w:r>
    </w:p>
    <w:p w14:paraId="5DA8DCB2" w14:textId="655306AE" w:rsidR="006B3AC6" w:rsidRPr="009863C7" w:rsidRDefault="006B3AC6" w:rsidP="006B3AC6">
      <w:pPr>
        <w:rPr>
          <w:rFonts w:ascii="Franklin Gothic Book" w:eastAsia="Calibri" w:hAnsi="Franklin Gothic Book" w:cs="Calibri"/>
          <w:lang w:val="en-US"/>
        </w:rPr>
      </w:pPr>
      <w:r w:rsidRPr="009863C7">
        <w:rPr>
          <w:rFonts w:ascii="Franklin Gothic Book" w:eastAsia="Calibri" w:hAnsi="Franklin Gothic Book" w:cs="Calibri"/>
        </w:rPr>
        <w:t xml:space="preserve">Since the inception of dual credit programs, administrators and practitioners have been meeting informally to discuss legislation, business practices, strengthening K12 relationships, enrollment strategies, and ensuring quality course development. </w:t>
      </w:r>
      <w:r w:rsidR="006127B9">
        <w:rPr>
          <w:rFonts w:ascii="Franklin Gothic Book" w:eastAsia="Calibri" w:hAnsi="Franklin Gothic Book" w:cs="Calibri"/>
        </w:rPr>
        <w:t xml:space="preserve"> </w:t>
      </w:r>
      <w:r w:rsidRPr="009863C7">
        <w:rPr>
          <w:rFonts w:ascii="Franklin Gothic Book" w:eastAsia="Calibri" w:hAnsi="Franklin Gothic Book" w:cs="Calibri"/>
        </w:rPr>
        <w:t xml:space="preserve">These informal connections have supported growth and success with dual credit programs to date.  </w:t>
      </w:r>
      <w:r w:rsidRPr="009863C7">
        <w:rPr>
          <w:rFonts w:ascii="Franklin Gothic Book" w:eastAsia="Calibri" w:hAnsi="Franklin Gothic Book" w:cs="Calibri"/>
          <w:lang w:val="en-US"/>
        </w:rPr>
        <w:t>Unfortunately, our current system has proven ill equipped to proactively address a variety of issues related to dual credit programs including:</w:t>
      </w:r>
    </w:p>
    <w:p w14:paraId="6A704448" w14:textId="77777777" w:rsidR="006B3AC6" w:rsidRPr="009863C7" w:rsidRDefault="006B3AC6" w:rsidP="006B3AC6">
      <w:pPr>
        <w:rPr>
          <w:rFonts w:ascii="Franklin Gothic Book" w:eastAsia="Calibri" w:hAnsi="Franklin Gothic Book" w:cs="Calibri"/>
          <w:lang w:val="en-US"/>
        </w:rPr>
      </w:pPr>
    </w:p>
    <w:p w14:paraId="1330000F" w14:textId="26ED0786" w:rsidR="00F14D20" w:rsidRPr="009863C7" w:rsidRDefault="00F14D20" w:rsidP="00F14D20">
      <w:pPr>
        <w:rPr>
          <w:rFonts w:ascii="Franklin Gothic Book" w:eastAsia="Calibri" w:hAnsi="Franklin Gothic Book" w:cs="Calibri"/>
          <w:lang w:val="en-US"/>
        </w:rPr>
      </w:pPr>
      <w:r w:rsidRPr="009863C7">
        <w:rPr>
          <w:rFonts w:ascii="Franklin Gothic Book" w:eastAsia="Calibri" w:hAnsi="Franklin Gothic Book" w:cs="Calibri"/>
          <w:b/>
          <w:bCs/>
          <w:lang w:val="en-US"/>
        </w:rPr>
        <w:t>School district requests</w:t>
      </w:r>
      <w:r w:rsidRPr="009863C7">
        <w:rPr>
          <w:rFonts w:ascii="Franklin Gothic Book" w:eastAsia="Calibri" w:hAnsi="Franklin Gothic Book" w:cs="Calibri"/>
          <w:lang w:val="en-US"/>
        </w:rPr>
        <w:t xml:space="preserve">: School districts continue to actively seek dual credit alternatives to RS </w:t>
      </w:r>
      <w:proofErr w:type="gramStart"/>
      <w:r w:rsidRPr="009863C7">
        <w:rPr>
          <w:rFonts w:ascii="Franklin Gothic Book" w:eastAsia="Calibri" w:hAnsi="Franklin Gothic Book" w:cs="Calibri"/>
          <w:lang w:val="en-US"/>
        </w:rPr>
        <w:t>in order to</w:t>
      </w:r>
      <w:proofErr w:type="gramEnd"/>
      <w:r w:rsidRPr="009863C7">
        <w:rPr>
          <w:rFonts w:ascii="Franklin Gothic Book" w:eastAsia="Calibri" w:hAnsi="Franklin Gothic Book" w:cs="Calibri"/>
          <w:lang w:val="en-US"/>
        </w:rPr>
        <w:t xml:space="preserve"> keep state funding at the schools.  Several school districts are actively identifying ways to make </w:t>
      </w:r>
      <w:proofErr w:type="gramStart"/>
      <w:r w:rsidRPr="009863C7">
        <w:rPr>
          <w:rFonts w:ascii="Franklin Gothic Book" w:eastAsia="Calibri" w:hAnsi="Franklin Gothic Book" w:cs="Calibri"/>
          <w:lang w:val="en-US"/>
        </w:rPr>
        <w:t>a DTA</w:t>
      </w:r>
      <w:proofErr w:type="gramEnd"/>
      <w:r w:rsidRPr="009863C7">
        <w:rPr>
          <w:rFonts w:ascii="Franklin Gothic Book" w:eastAsia="Calibri" w:hAnsi="Franklin Gothic Book" w:cs="Calibri"/>
          <w:lang w:val="en-US"/>
        </w:rPr>
        <w:t xml:space="preserve"> available to their high school students through </w:t>
      </w:r>
      <w:proofErr w:type="spellStart"/>
      <w:r w:rsidRPr="009863C7">
        <w:rPr>
          <w:rFonts w:ascii="Franklin Gothic Book" w:eastAsia="Calibri" w:hAnsi="Franklin Gothic Book" w:cs="Calibri"/>
          <w:lang w:val="en-US"/>
        </w:rPr>
        <w:t>CiHS</w:t>
      </w:r>
      <w:proofErr w:type="spellEnd"/>
      <w:r w:rsidRPr="009863C7">
        <w:rPr>
          <w:rFonts w:ascii="Franklin Gothic Book" w:eastAsia="Calibri" w:hAnsi="Franklin Gothic Book" w:cs="Calibri"/>
          <w:lang w:val="en-US"/>
        </w:rPr>
        <w:t>.  School districts are also seeking multiple dual credit agreements with various colleges, which can create a messy network of agreements that are more confusing than helpful for students.  There is currently no venue for sharing best practices or creating statewide approaches for responding to these requests.</w:t>
      </w:r>
    </w:p>
    <w:p w14:paraId="2D799337" w14:textId="0D7F00EC" w:rsidR="006B3AC6" w:rsidRPr="009863C7" w:rsidRDefault="006B3AC6" w:rsidP="006B3AC6">
      <w:pPr>
        <w:rPr>
          <w:rFonts w:ascii="Franklin Gothic Book" w:eastAsia="Calibri" w:hAnsi="Franklin Gothic Book" w:cs="Calibri"/>
          <w:lang w:val="en-US"/>
        </w:rPr>
      </w:pPr>
    </w:p>
    <w:p w14:paraId="183416AE" w14:textId="77777777" w:rsidR="00A23D57" w:rsidRPr="009863C7" w:rsidRDefault="00A23D57" w:rsidP="006B3AC6">
      <w:pPr>
        <w:rPr>
          <w:rFonts w:ascii="Franklin Gothic Book" w:eastAsia="Calibri" w:hAnsi="Franklin Gothic Book" w:cs="Calibri"/>
          <w:lang w:val="en-US"/>
        </w:rPr>
      </w:pPr>
    </w:p>
    <w:p w14:paraId="33867C39" w14:textId="7A197EEC" w:rsidR="006B3AC6" w:rsidRPr="009863C7" w:rsidRDefault="00A23D57" w:rsidP="006B3AC6">
      <w:pPr>
        <w:rPr>
          <w:rFonts w:ascii="Franklin Gothic Book" w:eastAsia="Calibri" w:hAnsi="Franklin Gothic Book" w:cs="Calibri"/>
          <w:lang w:val="en-US"/>
        </w:rPr>
      </w:pPr>
      <w:r w:rsidRPr="009863C7">
        <w:rPr>
          <w:rFonts w:ascii="Franklin Gothic Book" w:eastAsia="Calibri" w:hAnsi="Franklin Gothic Book" w:cs="Calibri"/>
          <w:b/>
          <w:bCs/>
          <w:lang w:val="en-US"/>
        </w:rPr>
        <w:t>Competition from universities:</w:t>
      </w:r>
      <w:r w:rsidRPr="009863C7">
        <w:rPr>
          <w:rFonts w:ascii="Franklin Gothic Book" w:eastAsia="Calibri" w:hAnsi="Franklin Gothic Book" w:cs="Calibri"/>
          <w:lang w:val="en-US"/>
        </w:rPr>
        <w:t xml:space="preserve"> Increased competition with universities in the dual credit space has increased dramatically with the passage of SB5048.  The decision by Central Washington University (CWU) to offer an associate degree only strengthens CWU’s position in this space to the detriment of </w:t>
      </w:r>
      <w:r w:rsidR="00A102AF" w:rsidRPr="009863C7">
        <w:rPr>
          <w:rFonts w:ascii="Franklin Gothic Book" w:eastAsia="Calibri" w:hAnsi="Franklin Gothic Book" w:cs="Calibri"/>
          <w:lang w:val="en-US"/>
        </w:rPr>
        <w:t>CTCs</w:t>
      </w:r>
      <w:r w:rsidRPr="009863C7">
        <w:rPr>
          <w:rFonts w:ascii="Franklin Gothic Book" w:eastAsia="Calibri" w:hAnsi="Franklin Gothic Book" w:cs="Calibri"/>
          <w:lang w:val="en-US"/>
        </w:rPr>
        <w:t xml:space="preserve">.  State demographic projections of declining birthrates and resultant declines in the numbers of high school graduates will only exacerbate the competition for students.  There is currently </w:t>
      </w:r>
      <w:proofErr w:type="gramStart"/>
      <w:r w:rsidRPr="009863C7">
        <w:rPr>
          <w:rFonts w:ascii="Franklin Gothic Book" w:eastAsia="Calibri" w:hAnsi="Franklin Gothic Book" w:cs="Calibri"/>
          <w:lang w:val="en-US"/>
        </w:rPr>
        <w:t>no body</w:t>
      </w:r>
      <w:proofErr w:type="gramEnd"/>
      <w:r w:rsidRPr="009863C7">
        <w:rPr>
          <w:rFonts w:ascii="Franklin Gothic Book" w:eastAsia="Calibri" w:hAnsi="Franklin Gothic Book" w:cs="Calibri"/>
          <w:lang w:val="en-US"/>
        </w:rPr>
        <w:t xml:space="preserve"> that can share ideas and coordinate strategies for growing dual credit programs in the face of increased competition.</w:t>
      </w:r>
    </w:p>
    <w:p w14:paraId="2E518B31" w14:textId="77777777" w:rsidR="00A23D57" w:rsidRPr="009863C7" w:rsidRDefault="00A23D57" w:rsidP="006B3AC6">
      <w:pPr>
        <w:rPr>
          <w:rFonts w:ascii="Franklin Gothic Book" w:eastAsia="Calibri" w:hAnsi="Franklin Gothic Book" w:cs="Calibri"/>
          <w:lang w:val="en-US"/>
        </w:rPr>
      </w:pPr>
    </w:p>
    <w:p w14:paraId="48C48392" w14:textId="77777777" w:rsidR="00926DDF" w:rsidRPr="009863C7" w:rsidRDefault="00926DDF" w:rsidP="00926DDF">
      <w:pPr>
        <w:rPr>
          <w:rFonts w:ascii="Franklin Gothic Book" w:eastAsia="Calibri" w:hAnsi="Franklin Gothic Book" w:cs="Calibri"/>
          <w:b/>
          <w:bCs/>
          <w:lang w:val="en-US"/>
        </w:rPr>
      </w:pPr>
      <w:r w:rsidRPr="009863C7">
        <w:rPr>
          <w:rFonts w:ascii="Franklin Gothic Book" w:eastAsia="Calibri" w:hAnsi="Franklin Gothic Book" w:cs="Calibri"/>
          <w:b/>
          <w:bCs/>
          <w:lang w:val="en-US"/>
        </w:rPr>
        <w:t>Policy advocacy:</w:t>
      </w:r>
    </w:p>
    <w:p w14:paraId="753539FD" w14:textId="4B459DD3" w:rsidR="00926DDF" w:rsidRPr="009863C7" w:rsidRDefault="00926DDF" w:rsidP="00926DDF">
      <w:pPr>
        <w:rPr>
          <w:rFonts w:ascii="Franklin Gothic Book" w:eastAsia="Calibri" w:hAnsi="Franklin Gothic Book" w:cs="Calibri"/>
          <w:lang w:val="en-US"/>
        </w:rPr>
      </w:pPr>
      <w:r w:rsidRPr="009863C7">
        <w:rPr>
          <w:rFonts w:ascii="Franklin Gothic Book" w:eastAsia="Calibri" w:hAnsi="Franklin Gothic Book" w:cs="Calibri"/>
          <w:lang w:val="en-US"/>
        </w:rPr>
        <w:t xml:space="preserve">Our system has historically been more reactive than proactive in the dual credit space. A prime example is the response to SB5048, which inadvertently provided a funding advantage to universities at the expense of community and technical colleges (CTCs). </w:t>
      </w:r>
    </w:p>
    <w:p w14:paraId="30BB51FB" w14:textId="77777777" w:rsidR="00926DDF" w:rsidRPr="009863C7" w:rsidRDefault="00926DDF" w:rsidP="00926DDF">
      <w:pPr>
        <w:rPr>
          <w:rFonts w:ascii="Franklin Gothic Book" w:eastAsia="Calibri" w:hAnsi="Franklin Gothic Book" w:cs="Calibri"/>
          <w:lang w:val="en-US"/>
        </w:rPr>
      </w:pPr>
    </w:p>
    <w:p w14:paraId="1B3869D0" w14:textId="510E6812" w:rsidR="00A23D57" w:rsidRPr="009863C7" w:rsidRDefault="00926DDF" w:rsidP="00926DDF">
      <w:pPr>
        <w:rPr>
          <w:rFonts w:ascii="Franklin Gothic Book" w:eastAsia="Calibri" w:hAnsi="Franklin Gothic Book" w:cs="Calibri"/>
          <w:lang w:val="en-US"/>
        </w:rPr>
      </w:pPr>
      <w:r w:rsidRPr="009863C7">
        <w:rPr>
          <w:rFonts w:ascii="Franklin Gothic Book" w:eastAsia="Calibri" w:hAnsi="Franklin Gothic Book" w:cs="Calibri"/>
          <w:lang w:val="en-US"/>
        </w:rPr>
        <w:t>Too often, we find ourselves responding to dual credit bills proposed by the Office of Superintendent of Public Instruction (OSPI) or other bodies, rather than proactively collaborating with legislators to craft legislation that supports CTCs. Currently, there is no formal group dedicated to identifying operational concerns and potential policy solutions to be included in legislation.</w:t>
      </w:r>
    </w:p>
    <w:p w14:paraId="4BBC325F" w14:textId="77777777" w:rsidR="00DB2011" w:rsidRPr="009863C7" w:rsidRDefault="00DB2011" w:rsidP="006B3AC6">
      <w:pPr>
        <w:rPr>
          <w:rFonts w:ascii="Franklin Gothic Book" w:eastAsia="Calibri" w:hAnsi="Franklin Gothic Book" w:cs="Calibri"/>
          <w:lang w:val="en-US"/>
        </w:rPr>
      </w:pPr>
    </w:p>
    <w:p w14:paraId="0DD7BB6C" w14:textId="41317D2D" w:rsidR="00DB2011" w:rsidRPr="009863C7" w:rsidRDefault="00DB2011" w:rsidP="006B3AC6">
      <w:pPr>
        <w:rPr>
          <w:rFonts w:ascii="Franklin Gothic Book" w:eastAsia="Calibri" w:hAnsi="Franklin Gothic Book" w:cs="Calibri"/>
          <w:lang w:val="en-US"/>
        </w:rPr>
      </w:pPr>
      <w:r w:rsidRPr="009863C7">
        <w:rPr>
          <w:rFonts w:ascii="Franklin Gothic Book" w:eastAsia="Calibri" w:hAnsi="Franklin Gothic Book" w:cs="Calibri"/>
          <w:b/>
          <w:bCs/>
          <w:lang w:val="en-US"/>
        </w:rPr>
        <w:t>Meeting compliance requirements</w:t>
      </w:r>
      <w:r w:rsidR="009863C7" w:rsidRPr="009863C7">
        <w:rPr>
          <w:rFonts w:ascii="Franklin Gothic Book" w:eastAsia="Calibri" w:hAnsi="Franklin Gothic Book" w:cs="Calibri"/>
          <w:b/>
          <w:bCs/>
          <w:lang w:val="en-US"/>
        </w:rPr>
        <w:t>:</w:t>
      </w:r>
      <w:r w:rsidR="009863C7" w:rsidRPr="009863C7">
        <w:rPr>
          <w:rFonts w:ascii="Franklin Gothic Book" w:eastAsia="Calibri" w:hAnsi="Franklin Gothic Book" w:cs="Calibri"/>
          <w:lang w:val="en-US"/>
        </w:rPr>
        <w:t xml:space="preserve"> RS</w:t>
      </w:r>
      <w:r w:rsidR="00F14D20" w:rsidRPr="009863C7">
        <w:rPr>
          <w:rFonts w:ascii="Franklin Gothic Book" w:eastAsia="Calibri" w:hAnsi="Franklin Gothic Book" w:cs="Calibri"/>
          <w:lang w:val="en-US"/>
        </w:rPr>
        <w:t xml:space="preserve">, </w:t>
      </w:r>
      <w:proofErr w:type="spellStart"/>
      <w:r w:rsidR="00F14D20" w:rsidRPr="009863C7">
        <w:rPr>
          <w:rFonts w:ascii="Franklin Gothic Book" w:eastAsia="Calibri" w:hAnsi="Franklin Gothic Book" w:cs="Calibri"/>
          <w:lang w:val="en-US"/>
        </w:rPr>
        <w:t>CiHS</w:t>
      </w:r>
      <w:proofErr w:type="spellEnd"/>
      <w:r w:rsidR="00F14D20" w:rsidRPr="009863C7">
        <w:rPr>
          <w:rFonts w:ascii="Franklin Gothic Book" w:eastAsia="Calibri" w:hAnsi="Franklin Gothic Book" w:cs="Calibri"/>
          <w:lang w:val="en-US"/>
        </w:rPr>
        <w:t xml:space="preserve">, and CTE Dual Credit require </w:t>
      </w:r>
      <w:r w:rsidRPr="009863C7">
        <w:rPr>
          <w:rFonts w:ascii="Franklin Gothic Book" w:eastAsia="Calibri" w:hAnsi="Franklin Gothic Book" w:cs="Calibri"/>
          <w:lang w:val="en-US"/>
        </w:rPr>
        <w:t xml:space="preserve">regular and significant data management and reporting requirements.  There are currently some informal gatherings to share best practices, interpret policy requirements, and raise awareness of logistical concerns.  However, there is no organizational body that can collectively identify strategy and solutions, nor put forward proposals for needed changes such as ctcLink modification requests. </w:t>
      </w:r>
    </w:p>
    <w:p w14:paraId="48CABDBD" w14:textId="77777777" w:rsidR="00C13FF8" w:rsidRPr="009863C7" w:rsidRDefault="00C13FF8" w:rsidP="006B3AC6">
      <w:pPr>
        <w:rPr>
          <w:rFonts w:ascii="Franklin Gothic Book" w:eastAsia="Calibri" w:hAnsi="Franklin Gothic Book" w:cs="Calibri"/>
          <w:lang w:val="en-US"/>
        </w:rPr>
      </w:pPr>
    </w:p>
    <w:p w14:paraId="507B0A28" w14:textId="1606DF4F" w:rsidR="00C13FF8" w:rsidRPr="009863C7" w:rsidRDefault="00C13FF8" w:rsidP="006B3AC6">
      <w:pPr>
        <w:rPr>
          <w:rFonts w:ascii="Franklin Gothic Book" w:eastAsia="Calibri" w:hAnsi="Franklin Gothic Book" w:cs="Calibri"/>
          <w:lang w:val="en-US"/>
        </w:rPr>
      </w:pPr>
      <w:r w:rsidRPr="009863C7">
        <w:rPr>
          <w:rFonts w:ascii="Franklin Gothic Book" w:eastAsia="Calibri" w:hAnsi="Franklin Gothic Book" w:cs="Calibri"/>
          <w:b/>
          <w:bCs/>
          <w:lang w:val="en-US"/>
        </w:rPr>
        <w:t>Supporting student success</w:t>
      </w:r>
      <w:r w:rsidR="009863C7" w:rsidRPr="009863C7">
        <w:rPr>
          <w:rFonts w:ascii="Franklin Gothic Book" w:eastAsia="Calibri" w:hAnsi="Franklin Gothic Book" w:cs="Calibri"/>
          <w:b/>
          <w:bCs/>
          <w:lang w:val="en-US"/>
        </w:rPr>
        <w:t>:</w:t>
      </w:r>
      <w:r w:rsidR="009863C7" w:rsidRPr="009863C7">
        <w:rPr>
          <w:rFonts w:ascii="Franklin Gothic Book" w:eastAsia="Calibri" w:hAnsi="Franklin Gothic Book" w:cs="Calibri"/>
          <w:lang w:val="en-US"/>
        </w:rPr>
        <w:t xml:space="preserve"> Pathways</w:t>
      </w:r>
      <w:r w:rsidRPr="009863C7">
        <w:rPr>
          <w:rFonts w:ascii="Franklin Gothic Book" w:eastAsia="Calibri" w:hAnsi="Franklin Gothic Book" w:cs="Calibri"/>
          <w:lang w:val="en-US"/>
        </w:rPr>
        <w:t xml:space="preserve"> from high school dual credit into college programs are not always clear, especially when a school district works with multiple colleges.  There are not consistent statewide admission and transcription procedures for all dual credit programs</w:t>
      </w:r>
      <w:r w:rsidR="00F14D20" w:rsidRPr="009863C7">
        <w:rPr>
          <w:rFonts w:ascii="Franklin Gothic Book" w:eastAsia="Calibri" w:hAnsi="Franklin Gothic Book" w:cs="Calibri"/>
          <w:lang w:val="en-US"/>
        </w:rPr>
        <w:t xml:space="preserve"> within the </w:t>
      </w:r>
      <w:proofErr w:type="spellStart"/>
      <w:r w:rsidR="00F14D20" w:rsidRPr="009863C7">
        <w:rPr>
          <w:rFonts w:ascii="Franklin Gothic Book" w:eastAsia="Calibri" w:hAnsi="Franklin Gothic Book" w:cs="Calibri"/>
          <w:lang w:val="en-US"/>
        </w:rPr>
        <w:t>ctc</w:t>
      </w:r>
      <w:proofErr w:type="spellEnd"/>
      <w:r w:rsidR="00F14D20" w:rsidRPr="009863C7">
        <w:rPr>
          <w:rFonts w:ascii="Franklin Gothic Book" w:eastAsia="Calibri" w:hAnsi="Franklin Gothic Book" w:cs="Calibri"/>
          <w:lang w:val="en-US"/>
        </w:rPr>
        <w:t xml:space="preserve"> system</w:t>
      </w:r>
      <w:r w:rsidRPr="009863C7">
        <w:rPr>
          <w:rFonts w:ascii="Franklin Gothic Book" w:eastAsia="Calibri" w:hAnsi="Franklin Gothic Book" w:cs="Calibri"/>
          <w:lang w:val="en-US"/>
        </w:rPr>
        <w:t xml:space="preserve"> that serve students well.  There is currently </w:t>
      </w:r>
      <w:proofErr w:type="gramStart"/>
      <w:r w:rsidRPr="009863C7">
        <w:rPr>
          <w:rFonts w:ascii="Franklin Gothic Book" w:eastAsia="Calibri" w:hAnsi="Franklin Gothic Book" w:cs="Calibri"/>
          <w:lang w:val="en-US"/>
        </w:rPr>
        <w:t>no body</w:t>
      </w:r>
      <w:proofErr w:type="gramEnd"/>
      <w:r w:rsidRPr="009863C7">
        <w:rPr>
          <w:rFonts w:ascii="Franklin Gothic Book" w:eastAsia="Calibri" w:hAnsi="Franklin Gothic Book" w:cs="Calibri"/>
          <w:lang w:val="en-US"/>
        </w:rPr>
        <w:t xml:space="preserve"> for addressing questions around enrollment, matriculation, </w:t>
      </w:r>
      <w:proofErr w:type="gramStart"/>
      <w:r w:rsidRPr="009863C7">
        <w:rPr>
          <w:rFonts w:ascii="Franklin Gothic Book" w:eastAsia="Calibri" w:hAnsi="Franklin Gothic Book" w:cs="Calibri"/>
          <w:lang w:val="en-US"/>
        </w:rPr>
        <w:t>advising</w:t>
      </w:r>
      <w:proofErr w:type="gramEnd"/>
      <w:r w:rsidRPr="009863C7">
        <w:rPr>
          <w:rFonts w:ascii="Franklin Gothic Book" w:eastAsia="Calibri" w:hAnsi="Franklin Gothic Book" w:cs="Calibri"/>
          <w:lang w:val="en-US"/>
        </w:rPr>
        <w:t xml:space="preserve">, transcription, articulation, and assessment of student learning.  </w:t>
      </w:r>
    </w:p>
    <w:p w14:paraId="205C1A46" w14:textId="77777777" w:rsidR="006B3AC6" w:rsidRPr="009863C7" w:rsidRDefault="006B3AC6" w:rsidP="006B3AC6">
      <w:pPr>
        <w:rPr>
          <w:rFonts w:ascii="Franklin Gothic Book" w:eastAsia="Calibri" w:hAnsi="Franklin Gothic Book" w:cs="Calibri"/>
          <w:lang w:val="en-US"/>
        </w:rPr>
      </w:pPr>
    </w:p>
    <w:p w14:paraId="54B1DDD8" w14:textId="553F1393" w:rsidR="006B3AC6" w:rsidRPr="009863C7" w:rsidRDefault="00DB2011" w:rsidP="00F14D20">
      <w:pPr>
        <w:pStyle w:val="Heading4"/>
        <w:rPr>
          <w:rFonts w:ascii="Franklin Gothic Book" w:hAnsi="Franklin Gothic Book"/>
          <w:sz w:val="22"/>
          <w:szCs w:val="22"/>
        </w:rPr>
      </w:pPr>
      <w:r w:rsidRPr="009863C7">
        <w:rPr>
          <w:rFonts w:ascii="Franklin Gothic Book" w:hAnsi="Franklin Gothic Book"/>
          <w:sz w:val="22"/>
          <w:szCs w:val="22"/>
        </w:rPr>
        <w:t>Proposed Solution</w:t>
      </w:r>
    </w:p>
    <w:p w14:paraId="0000000F" w14:textId="4221FDF7" w:rsidR="00521ADE" w:rsidRPr="009863C7" w:rsidRDefault="00DB2011">
      <w:pPr>
        <w:rPr>
          <w:rFonts w:ascii="Franklin Gothic Book" w:eastAsia="Calibri" w:hAnsi="Franklin Gothic Book" w:cs="Calibri"/>
        </w:rPr>
      </w:pPr>
      <w:r w:rsidRPr="009863C7">
        <w:rPr>
          <w:rFonts w:ascii="Franklin Gothic Book" w:eastAsia="Calibri" w:hAnsi="Franklin Gothic Book" w:cs="Calibri"/>
        </w:rPr>
        <w:t xml:space="preserve">There is a need to create a formal organizational structure that will provide structured support and a unified voice for dual credit initiatives, ensuring sustained progress and innovation.  </w:t>
      </w:r>
      <w:r w:rsidR="0029137F" w:rsidRPr="009863C7">
        <w:rPr>
          <w:rFonts w:ascii="Franklin Gothic Book" w:eastAsia="Calibri" w:hAnsi="Franklin Gothic Book" w:cs="Calibri"/>
        </w:rPr>
        <w:t xml:space="preserve">To continue leading and enhancing dual credit programs proactively, the formation of a Dual Credit Council is essential. This council will provide structured support and a unified voice for dual credit initiatives, ensuring sustained progress and innovation. The Dual Credit Committee through the Instruction Commission seeks approval for the formation of a Dual Credit Council. This council will be composed of administrators </w:t>
      </w:r>
      <w:r w:rsidR="00C13FF8" w:rsidRPr="009863C7">
        <w:rPr>
          <w:rFonts w:ascii="Franklin Gothic Book" w:eastAsia="Calibri" w:hAnsi="Franklin Gothic Book" w:cs="Calibri"/>
        </w:rPr>
        <w:t xml:space="preserve">and staff responsible for implementing </w:t>
      </w:r>
      <w:r w:rsidR="00A102AF" w:rsidRPr="009863C7">
        <w:rPr>
          <w:rFonts w:ascii="Franklin Gothic Book" w:eastAsia="Calibri" w:hAnsi="Franklin Gothic Book" w:cs="Calibri"/>
        </w:rPr>
        <w:t>RS</w:t>
      </w:r>
      <w:r w:rsidR="0029137F" w:rsidRPr="009863C7">
        <w:rPr>
          <w:rFonts w:ascii="Franklin Gothic Book" w:eastAsia="Calibri" w:hAnsi="Franklin Gothic Book" w:cs="Calibri"/>
        </w:rPr>
        <w:t xml:space="preserve">, CTE DC, and </w:t>
      </w:r>
      <w:proofErr w:type="spellStart"/>
      <w:r w:rsidR="00A102AF" w:rsidRPr="009863C7">
        <w:rPr>
          <w:rFonts w:ascii="Franklin Gothic Book" w:eastAsia="Calibri" w:hAnsi="Franklin Gothic Book" w:cs="Calibri"/>
        </w:rPr>
        <w:t>CiHS</w:t>
      </w:r>
      <w:proofErr w:type="spellEnd"/>
      <w:r w:rsidR="00A102AF" w:rsidRPr="009863C7" w:rsidDel="00A102AF">
        <w:rPr>
          <w:rFonts w:ascii="Franklin Gothic Book" w:eastAsia="Calibri" w:hAnsi="Franklin Gothic Book" w:cs="Calibri"/>
        </w:rPr>
        <w:t xml:space="preserve"> </w:t>
      </w:r>
      <w:r w:rsidR="00C13FF8" w:rsidRPr="009863C7">
        <w:rPr>
          <w:rFonts w:ascii="Franklin Gothic Book" w:eastAsia="Calibri" w:hAnsi="Franklin Gothic Book" w:cs="Calibri"/>
        </w:rPr>
        <w:t>programs</w:t>
      </w:r>
      <w:r w:rsidR="0029137F" w:rsidRPr="009863C7">
        <w:rPr>
          <w:rFonts w:ascii="Franklin Gothic Book" w:eastAsia="Calibri" w:hAnsi="Franklin Gothic Book" w:cs="Calibri"/>
        </w:rPr>
        <w:t>.</w:t>
      </w:r>
    </w:p>
    <w:p w14:paraId="00000010" w14:textId="77777777" w:rsidR="00521ADE" w:rsidRPr="009863C7" w:rsidRDefault="00521ADE">
      <w:pPr>
        <w:rPr>
          <w:rFonts w:ascii="Franklin Gothic Book" w:eastAsia="Calibri" w:hAnsi="Franklin Gothic Book" w:cs="Calibri"/>
        </w:rPr>
      </w:pPr>
    </w:p>
    <w:p w14:paraId="00000011" w14:textId="77777777" w:rsidR="00521ADE" w:rsidRPr="009863C7" w:rsidRDefault="0029137F">
      <w:pPr>
        <w:rPr>
          <w:rFonts w:ascii="Franklin Gothic Book" w:eastAsia="Calibri" w:hAnsi="Franklin Gothic Book" w:cs="Calibri"/>
        </w:rPr>
      </w:pPr>
      <w:r w:rsidRPr="009863C7">
        <w:rPr>
          <w:rFonts w:ascii="Franklin Gothic Book" w:eastAsia="Calibri" w:hAnsi="Franklin Gothic Book" w:cs="Calibri"/>
          <w:b/>
        </w:rPr>
        <w:t>Mission</w:t>
      </w:r>
      <w:r w:rsidRPr="009863C7">
        <w:rPr>
          <w:rFonts w:ascii="Franklin Gothic Book" w:eastAsia="Calibri" w:hAnsi="Franklin Gothic Book" w:cs="Calibri"/>
        </w:rPr>
        <w:t xml:space="preserve">: To strengthen dual credit pathways and credential attainment. The council aims to create clear and seamless transitions from high school to </w:t>
      </w:r>
      <w:proofErr w:type="gramStart"/>
      <w:r w:rsidRPr="009863C7">
        <w:rPr>
          <w:rFonts w:ascii="Franklin Gothic Book" w:eastAsia="Calibri" w:hAnsi="Franklin Gothic Book" w:cs="Calibri"/>
        </w:rPr>
        <w:t>postsecondary</w:t>
      </w:r>
      <w:proofErr w:type="gramEnd"/>
      <w:r w:rsidRPr="009863C7">
        <w:rPr>
          <w:rFonts w:ascii="Franklin Gothic Book" w:eastAsia="Calibri" w:hAnsi="Franklin Gothic Book" w:cs="Calibri"/>
        </w:rPr>
        <w:t xml:space="preserve"> education, ensuring students earn credentials that lead to high-wage and high-demand careers.</w:t>
      </w:r>
    </w:p>
    <w:p w14:paraId="00000012" w14:textId="77777777" w:rsidR="00521ADE" w:rsidRPr="009863C7" w:rsidRDefault="00521ADE">
      <w:pPr>
        <w:rPr>
          <w:rFonts w:ascii="Franklin Gothic Book" w:eastAsia="Calibri" w:hAnsi="Franklin Gothic Book" w:cs="Calibri"/>
        </w:rPr>
      </w:pPr>
    </w:p>
    <w:p w14:paraId="00000013" w14:textId="77777777" w:rsidR="00521ADE" w:rsidRPr="009863C7" w:rsidRDefault="0029137F">
      <w:pPr>
        <w:rPr>
          <w:rFonts w:ascii="Franklin Gothic Book" w:eastAsia="Calibri" w:hAnsi="Franklin Gothic Book" w:cs="Calibri"/>
          <w:b/>
        </w:rPr>
      </w:pPr>
      <w:r w:rsidRPr="009863C7">
        <w:rPr>
          <w:rFonts w:ascii="Franklin Gothic Book" w:eastAsia="Calibri" w:hAnsi="Franklin Gothic Book" w:cs="Calibri"/>
          <w:b/>
        </w:rPr>
        <w:t>Dual Credit Council Deliverables</w:t>
      </w:r>
    </w:p>
    <w:p w14:paraId="00000014" w14:textId="77777777" w:rsidR="00521ADE" w:rsidRPr="009863C7" w:rsidRDefault="0029137F">
      <w:pPr>
        <w:numPr>
          <w:ilvl w:val="0"/>
          <w:numId w:val="4"/>
        </w:numPr>
        <w:rPr>
          <w:rFonts w:ascii="Franklin Gothic Book" w:eastAsia="Calibri" w:hAnsi="Franklin Gothic Book" w:cs="Calibri"/>
        </w:rPr>
      </w:pPr>
      <w:r w:rsidRPr="009863C7">
        <w:rPr>
          <w:rFonts w:ascii="Franklin Gothic Book" w:eastAsia="Calibri" w:hAnsi="Franklin Gothic Book" w:cs="Calibri"/>
        </w:rPr>
        <w:t>Collaborate with State Agencies: Establish and maintain a unified vision and set of goals for dual credit programs.</w:t>
      </w:r>
    </w:p>
    <w:p w14:paraId="00000015" w14:textId="77777777" w:rsidR="00521ADE" w:rsidRPr="009863C7" w:rsidRDefault="0029137F">
      <w:pPr>
        <w:numPr>
          <w:ilvl w:val="0"/>
          <w:numId w:val="4"/>
        </w:numPr>
        <w:rPr>
          <w:rFonts w:ascii="Franklin Gothic Book" w:eastAsia="Calibri" w:hAnsi="Franklin Gothic Book" w:cs="Calibri"/>
        </w:rPr>
      </w:pPr>
      <w:r w:rsidRPr="009863C7">
        <w:rPr>
          <w:rFonts w:ascii="Franklin Gothic Book" w:eastAsia="Calibri" w:hAnsi="Franklin Gothic Book" w:cs="Calibri"/>
        </w:rPr>
        <w:t>Impact Policy: Provide the legislature with recommendations for current and future policy decisions impacting dual credit.</w:t>
      </w:r>
    </w:p>
    <w:p w14:paraId="00000016" w14:textId="77777777" w:rsidR="00521ADE" w:rsidRPr="009863C7" w:rsidRDefault="0029137F">
      <w:pPr>
        <w:numPr>
          <w:ilvl w:val="0"/>
          <w:numId w:val="4"/>
        </w:numPr>
        <w:rPr>
          <w:rFonts w:ascii="Franklin Gothic Book" w:eastAsia="Calibri" w:hAnsi="Franklin Gothic Book" w:cs="Calibri"/>
        </w:rPr>
      </w:pPr>
      <w:r w:rsidRPr="009863C7">
        <w:rPr>
          <w:rFonts w:ascii="Franklin Gothic Book" w:eastAsia="Calibri" w:hAnsi="Franklin Gothic Book" w:cs="Calibri"/>
        </w:rPr>
        <w:t>Create Advising Tools and Materials: Develop brochures, flyers, and other materials to raise awareness and promote best practices for dual credit programs.</w:t>
      </w:r>
    </w:p>
    <w:p w14:paraId="00000017" w14:textId="77777777" w:rsidR="00521ADE" w:rsidRPr="009863C7" w:rsidRDefault="0029137F">
      <w:pPr>
        <w:numPr>
          <w:ilvl w:val="0"/>
          <w:numId w:val="4"/>
        </w:numPr>
        <w:rPr>
          <w:rFonts w:ascii="Franklin Gothic Book" w:eastAsia="Calibri" w:hAnsi="Franklin Gothic Book" w:cs="Calibri"/>
        </w:rPr>
      </w:pPr>
      <w:r w:rsidRPr="009863C7">
        <w:rPr>
          <w:rFonts w:ascii="Franklin Gothic Book" w:eastAsia="Calibri" w:hAnsi="Franklin Gothic Book" w:cs="Calibri"/>
        </w:rPr>
        <w:t>Streamline Processes: Improve dual credit admissions, course building, transcribing, and credit transfer.</w:t>
      </w:r>
    </w:p>
    <w:p w14:paraId="00000018" w14:textId="77777777" w:rsidR="00521ADE" w:rsidRPr="009863C7" w:rsidRDefault="0029137F">
      <w:pPr>
        <w:numPr>
          <w:ilvl w:val="0"/>
          <w:numId w:val="4"/>
        </w:numPr>
        <w:rPr>
          <w:rFonts w:ascii="Franklin Gothic Book" w:eastAsia="Calibri" w:hAnsi="Franklin Gothic Book" w:cs="Calibri"/>
        </w:rPr>
      </w:pPr>
      <w:r w:rsidRPr="009863C7">
        <w:rPr>
          <w:rFonts w:ascii="Franklin Gothic Book" w:eastAsia="Calibri" w:hAnsi="Franklin Gothic Book" w:cs="Calibri"/>
        </w:rPr>
        <w:t>Develop Unified Messaging: Ensure consistent communication across all platforms and stakeholders.</w:t>
      </w:r>
    </w:p>
    <w:p w14:paraId="00000019" w14:textId="77777777" w:rsidR="00521ADE" w:rsidRPr="009863C7" w:rsidRDefault="00521ADE">
      <w:pPr>
        <w:rPr>
          <w:rFonts w:ascii="Franklin Gothic Book" w:eastAsia="Calibri" w:hAnsi="Franklin Gothic Book" w:cs="Calibri"/>
        </w:rPr>
      </w:pPr>
    </w:p>
    <w:p w14:paraId="0000001A" w14:textId="77777777" w:rsidR="00521ADE" w:rsidRPr="009863C7" w:rsidRDefault="0029137F">
      <w:pPr>
        <w:rPr>
          <w:rFonts w:ascii="Franklin Gothic Book" w:eastAsia="Calibri" w:hAnsi="Franklin Gothic Book" w:cs="Calibri"/>
          <w:b/>
        </w:rPr>
      </w:pPr>
      <w:r w:rsidRPr="009863C7">
        <w:rPr>
          <w:rFonts w:ascii="Franklin Gothic Book" w:eastAsia="Calibri" w:hAnsi="Franklin Gothic Book" w:cs="Calibri"/>
          <w:b/>
        </w:rPr>
        <w:t>Dual Credit Council Composition</w:t>
      </w:r>
    </w:p>
    <w:p w14:paraId="0000001B" w14:textId="77777777" w:rsidR="00521ADE" w:rsidRPr="009863C7" w:rsidRDefault="0029137F">
      <w:pPr>
        <w:rPr>
          <w:rFonts w:ascii="Franklin Gothic Book" w:eastAsia="Calibri" w:hAnsi="Franklin Gothic Book" w:cs="Calibri"/>
          <w:i/>
        </w:rPr>
      </w:pPr>
      <w:r w:rsidRPr="009863C7">
        <w:rPr>
          <w:rFonts w:ascii="Franklin Gothic Book" w:eastAsia="Calibri" w:hAnsi="Franklin Gothic Book" w:cs="Calibri"/>
          <w:i/>
        </w:rPr>
        <w:t>Staff</w:t>
      </w:r>
    </w:p>
    <w:p w14:paraId="0000001C" w14:textId="77777777" w:rsidR="00521ADE" w:rsidRPr="009863C7" w:rsidRDefault="0029137F">
      <w:pPr>
        <w:numPr>
          <w:ilvl w:val="0"/>
          <w:numId w:val="3"/>
        </w:numPr>
        <w:rPr>
          <w:rFonts w:ascii="Franklin Gothic Book" w:eastAsia="Calibri" w:hAnsi="Franklin Gothic Book" w:cs="Calibri"/>
        </w:rPr>
      </w:pPr>
      <w:r w:rsidRPr="009863C7">
        <w:rPr>
          <w:rFonts w:ascii="Franklin Gothic Book" w:eastAsia="Calibri" w:hAnsi="Franklin Gothic Book" w:cs="Calibri"/>
        </w:rPr>
        <w:t>Student Services &amp; K12 Alignment Policy Associate</w:t>
      </w:r>
    </w:p>
    <w:p w14:paraId="0000001D" w14:textId="77777777" w:rsidR="00521ADE" w:rsidRPr="009863C7" w:rsidRDefault="0029137F">
      <w:pPr>
        <w:numPr>
          <w:ilvl w:val="0"/>
          <w:numId w:val="3"/>
        </w:numPr>
        <w:rPr>
          <w:rFonts w:ascii="Franklin Gothic Book" w:eastAsia="Calibri" w:hAnsi="Franklin Gothic Book" w:cs="Calibri"/>
        </w:rPr>
      </w:pPr>
      <w:r w:rsidRPr="009863C7">
        <w:rPr>
          <w:rFonts w:ascii="Franklin Gothic Book" w:eastAsia="Calibri" w:hAnsi="Franklin Gothic Book" w:cs="Calibri"/>
        </w:rPr>
        <w:t>Workforce Education Policy Associate</w:t>
      </w:r>
    </w:p>
    <w:p w14:paraId="0000001E" w14:textId="77777777" w:rsidR="00521ADE" w:rsidRPr="009863C7" w:rsidRDefault="00521ADE">
      <w:pPr>
        <w:rPr>
          <w:rFonts w:ascii="Franklin Gothic Book" w:eastAsia="Calibri" w:hAnsi="Franklin Gothic Book" w:cs="Calibri"/>
        </w:rPr>
      </w:pPr>
    </w:p>
    <w:p w14:paraId="0000001F" w14:textId="77777777" w:rsidR="00521ADE" w:rsidRPr="009863C7" w:rsidRDefault="0029137F">
      <w:pPr>
        <w:rPr>
          <w:rFonts w:ascii="Franklin Gothic Book" w:eastAsia="Calibri" w:hAnsi="Franklin Gothic Book" w:cs="Calibri"/>
          <w:i/>
        </w:rPr>
      </w:pPr>
      <w:r w:rsidRPr="009863C7">
        <w:rPr>
          <w:rFonts w:ascii="Franklin Gothic Book" w:eastAsia="Calibri" w:hAnsi="Franklin Gothic Book" w:cs="Calibri"/>
          <w:i/>
        </w:rPr>
        <w:t>Council Representation</w:t>
      </w:r>
    </w:p>
    <w:p w14:paraId="00000020" w14:textId="77777777" w:rsidR="00521ADE" w:rsidRPr="009863C7" w:rsidRDefault="0029137F">
      <w:pPr>
        <w:numPr>
          <w:ilvl w:val="0"/>
          <w:numId w:val="5"/>
        </w:numPr>
        <w:rPr>
          <w:rFonts w:ascii="Franklin Gothic Book" w:eastAsia="Calibri" w:hAnsi="Franklin Gothic Book" w:cs="Calibri"/>
        </w:rPr>
      </w:pPr>
      <w:r w:rsidRPr="009863C7">
        <w:rPr>
          <w:rFonts w:ascii="Franklin Gothic Book" w:eastAsia="Calibri" w:hAnsi="Franklin Gothic Book" w:cs="Calibri"/>
        </w:rPr>
        <w:t>Admissions and Registration Council</w:t>
      </w:r>
    </w:p>
    <w:p w14:paraId="00000021" w14:textId="77777777" w:rsidR="00521ADE" w:rsidRPr="009863C7" w:rsidRDefault="0029137F">
      <w:pPr>
        <w:numPr>
          <w:ilvl w:val="0"/>
          <w:numId w:val="5"/>
        </w:numPr>
        <w:rPr>
          <w:rFonts w:ascii="Franklin Gothic Book" w:eastAsia="Calibri" w:hAnsi="Franklin Gothic Book" w:cs="Calibri"/>
        </w:rPr>
      </w:pPr>
      <w:r w:rsidRPr="009863C7">
        <w:rPr>
          <w:rFonts w:ascii="Franklin Gothic Book" w:eastAsia="Calibri" w:hAnsi="Franklin Gothic Book" w:cs="Calibri"/>
        </w:rPr>
        <w:t>Advising and Counseling Council</w:t>
      </w:r>
    </w:p>
    <w:p w14:paraId="00000022" w14:textId="77777777" w:rsidR="00521ADE" w:rsidRPr="009863C7" w:rsidRDefault="0029137F">
      <w:pPr>
        <w:numPr>
          <w:ilvl w:val="0"/>
          <w:numId w:val="5"/>
        </w:numPr>
        <w:rPr>
          <w:rFonts w:ascii="Franklin Gothic Book" w:eastAsia="Calibri" w:hAnsi="Franklin Gothic Book" w:cs="Calibri"/>
        </w:rPr>
      </w:pPr>
      <w:r w:rsidRPr="009863C7">
        <w:rPr>
          <w:rFonts w:ascii="Franklin Gothic Book" w:eastAsia="Calibri" w:hAnsi="Franklin Gothic Book" w:cs="Calibri"/>
        </w:rPr>
        <w:t>Articulation and Transfer Council</w:t>
      </w:r>
    </w:p>
    <w:p w14:paraId="00000023" w14:textId="77777777" w:rsidR="00521ADE" w:rsidRPr="009863C7" w:rsidRDefault="0029137F">
      <w:pPr>
        <w:numPr>
          <w:ilvl w:val="0"/>
          <w:numId w:val="5"/>
        </w:numPr>
        <w:rPr>
          <w:rFonts w:ascii="Franklin Gothic Book" w:eastAsia="Calibri" w:hAnsi="Franklin Gothic Book" w:cs="Calibri"/>
        </w:rPr>
      </w:pPr>
      <w:r w:rsidRPr="009863C7">
        <w:rPr>
          <w:rFonts w:ascii="Franklin Gothic Book" w:eastAsia="Calibri" w:hAnsi="Franklin Gothic Book" w:cs="Calibri"/>
        </w:rPr>
        <w:t>Workforce Education Council</w:t>
      </w:r>
    </w:p>
    <w:p w14:paraId="00000024" w14:textId="77777777" w:rsidR="00521ADE" w:rsidRPr="009863C7" w:rsidRDefault="00521ADE">
      <w:pPr>
        <w:rPr>
          <w:rFonts w:ascii="Franklin Gothic Book" w:eastAsia="Calibri" w:hAnsi="Franklin Gothic Book" w:cs="Calibri"/>
        </w:rPr>
      </w:pPr>
    </w:p>
    <w:p w14:paraId="00000025" w14:textId="77777777" w:rsidR="00521ADE" w:rsidRPr="009863C7" w:rsidRDefault="0029137F">
      <w:pPr>
        <w:rPr>
          <w:rFonts w:ascii="Franklin Gothic Book" w:eastAsia="Calibri" w:hAnsi="Franklin Gothic Book" w:cs="Calibri"/>
          <w:i/>
        </w:rPr>
      </w:pPr>
      <w:r w:rsidRPr="009863C7">
        <w:rPr>
          <w:rFonts w:ascii="Franklin Gothic Book" w:eastAsia="Calibri" w:hAnsi="Franklin Gothic Book" w:cs="Calibri"/>
          <w:i/>
        </w:rPr>
        <w:t>Council Members</w:t>
      </w:r>
    </w:p>
    <w:p w14:paraId="00000026" w14:textId="77777777" w:rsidR="00521ADE" w:rsidRPr="009863C7" w:rsidRDefault="0029137F">
      <w:pPr>
        <w:numPr>
          <w:ilvl w:val="0"/>
          <w:numId w:val="1"/>
        </w:numPr>
        <w:rPr>
          <w:rFonts w:ascii="Franklin Gothic Book" w:eastAsia="Calibri" w:hAnsi="Franklin Gothic Book" w:cs="Calibri"/>
        </w:rPr>
      </w:pPr>
      <w:r w:rsidRPr="009863C7">
        <w:rPr>
          <w:rFonts w:ascii="Franklin Gothic Book" w:eastAsia="Calibri" w:hAnsi="Franklin Gothic Book" w:cs="Calibri"/>
        </w:rPr>
        <w:t>Running Start Administrators</w:t>
      </w:r>
    </w:p>
    <w:p w14:paraId="00000027" w14:textId="77777777" w:rsidR="00521ADE" w:rsidRPr="009863C7" w:rsidRDefault="0029137F">
      <w:pPr>
        <w:numPr>
          <w:ilvl w:val="0"/>
          <w:numId w:val="1"/>
        </w:numPr>
        <w:rPr>
          <w:rFonts w:ascii="Franklin Gothic Book" w:eastAsia="Calibri" w:hAnsi="Franklin Gothic Book" w:cs="Calibri"/>
        </w:rPr>
      </w:pPr>
      <w:r w:rsidRPr="009863C7">
        <w:rPr>
          <w:rFonts w:ascii="Franklin Gothic Book" w:eastAsia="Calibri" w:hAnsi="Franklin Gothic Book" w:cs="Calibri"/>
        </w:rPr>
        <w:t xml:space="preserve">College in </w:t>
      </w:r>
      <w:proofErr w:type="gramStart"/>
      <w:r w:rsidRPr="009863C7">
        <w:rPr>
          <w:rFonts w:ascii="Franklin Gothic Book" w:eastAsia="Calibri" w:hAnsi="Franklin Gothic Book" w:cs="Calibri"/>
        </w:rPr>
        <w:t>the High</w:t>
      </w:r>
      <w:proofErr w:type="gramEnd"/>
      <w:r w:rsidRPr="009863C7">
        <w:rPr>
          <w:rFonts w:ascii="Franklin Gothic Book" w:eastAsia="Calibri" w:hAnsi="Franklin Gothic Book" w:cs="Calibri"/>
        </w:rPr>
        <w:t xml:space="preserve"> School Administrators</w:t>
      </w:r>
    </w:p>
    <w:p w14:paraId="00000028" w14:textId="77777777" w:rsidR="00521ADE" w:rsidRPr="009863C7" w:rsidRDefault="0029137F">
      <w:pPr>
        <w:numPr>
          <w:ilvl w:val="0"/>
          <w:numId w:val="1"/>
        </w:numPr>
        <w:rPr>
          <w:rFonts w:ascii="Franklin Gothic Book" w:eastAsia="Calibri" w:hAnsi="Franklin Gothic Book" w:cs="Calibri"/>
        </w:rPr>
      </w:pPr>
      <w:r w:rsidRPr="009863C7">
        <w:rPr>
          <w:rFonts w:ascii="Franklin Gothic Book" w:eastAsia="Calibri" w:hAnsi="Franklin Gothic Book" w:cs="Calibri"/>
        </w:rPr>
        <w:t>Career and Technical Education Dual Credit Administrators</w:t>
      </w:r>
    </w:p>
    <w:p w14:paraId="00000029" w14:textId="77777777" w:rsidR="00521ADE" w:rsidRPr="009863C7" w:rsidRDefault="00521ADE">
      <w:pPr>
        <w:rPr>
          <w:rFonts w:ascii="Franklin Gothic Book" w:eastAsia="Calibri" w:hAnsi="Franklin Gothic Book" w:cs="Calibri"/>
        </w:rPr>
      </w:pPr>
    </w:p>
    <w:p w14:paraId="0000002A" w14:textId="77777777" w:rsidR="00521ADE" w:rsidRPr="009863C7" w:rsidRDefault="0029137F">
      <w:pPr>
        <w:rPr>
          <w:rFonts w:ascii="Franklin Gothic Book" w:eastAsia="Calibri" w:hAnsi="Franklin Gothic Book" w:cs="Calibri"/>
          <w:b/>
          <w:i/>
        </w:rPr>
      </w:pPr>
      <w:r w:rsidRPr="009863C7">
        <w:rPr>
          <w:rFonts w:ascii="Franklin Gothic Book" w:eastAsia="Calibri" w:hAnsi="Franklin Gothic Book" w:cs="Calibri"/>
          <w:i/>
        </w:rPr>
        <w:t>Meeting Cadence</w:t>
      </w:r>
      <w:r w:rsidRPr="009863C7">
        <w:rPr>
          <w:rFonts w:ascii="Franklin Gothic Book" w:eastAsia="Calibri" w:hAnsi="Franklin Gothic Book" w:cs="Calibri"/>
          <w:b/>
          <w:i/>
        </w:rPr>
        <w:t xml:space="preserve"> </w:t>
      </w:r>
    </w:p>
    <w:p w14:paraId="0000002B" w14:textId="77777777" w:rsidR="00521ADE" w:rsidRPr="009863C7" w:rsidRDefault="0029137F">
      <w:pPr>
        <w:rPr>
          <w:rFonts w:ascii="Franklin Gothic Book" w:eastAsia="Calibri" w:hAnsi="Franklin Gothic Book" w:cs="Calibri"/>
        </w:rPr>
      </w:pPr>
      <w:r w:rsidRPr="009863C7">
        <w:rPr>
          <w:rFonts w:ascii="Franklin Gothic Book" w:eastAsia="Calibri" w:hAnsi="Franklin Gothic Book" w:cs="Calibri"/>
        </w:rPr>
        <w:lastRenderedPageBreak/>
        <w:t>The council will meet quarterly and can adapt to virtual spaces based on the financial health of the system and colleges.</w:t>
      </w:r>
    </w:p>
    <w:p w14:paraId="0000002C" w14:textId="77777777" w:rsidR="00521ADE" w:rsidRPr="009863C7" w:rsidRDefault="00521ADE">
      <w:pPr>
        <w:rPr>
          <w:rFonts w:ascii="Franklin Gothic Book" w:eastAsia="Calibri" w:hAnsi="Franklin Gothic Book" w:cs="Calibri"/>
        </w:rPr>
      </w:pPr>
    </w:p>
    <w:p w14:paraId="0000002D" w14:textId="77777777" w:rsidR="00521ADE" w:rsidRPr="009863C7" w:rsidRDefault="0029137F">
      <w:pPr>
        <w:rPr>
          <w:rFonts w:ascii="Franklin Gothic Book" w:eastAsia="Calibri" w:hAnsi="Franklin Gothic Book" w:cs="Calibri"/>
          <w:i/>
        </w:rPr>
      </w:pPr>
      <w:r w:rsidRPr="009863C7">
        <w:rPr>
          <w:rFonts w:ascii="Franklin Gothic Book" w:eastAsia="Calibri" w:hAnsi="Franklin Gothic Book" w:cs="Calibri"/>
          <w:i/>
        </w:rPr>
        <w:t xml:space="preserve">Reporting Structure </w:t>
      </w:r>
    </w:p>
    <w:p w14:paraId="0000002E" w14:textId="77777777" w:rsidR="00521ADE" w:rsidRPr="009863C7" w:rsidRDefault="0029137F">
      <w:pPr>
        <w:rPr>
          <w:rFonts w:ascii="Franklin Gothic Book" w:eastAsia="Calibri" w:hAnsi="Franklin Gothic Book" w:cs="Calibri"/>
        </w:rPr>
      </w:pPr>
      <w:r w:rsidRPr="009863C7">
        <w:rPr>
          <w:rFonts w:ascii="Franklin Gothic Book" w:eastAsia="Calibri" w:hAnsi="Franklin Gothic Book" w:cs="Calibri"/>
        </w:rPr>
        <w:t>Dual Credit impacts both instruction and student services. While this proposal places the council within the Instruction Commission, it is essential that the council also connects with the Washington State Student Services Commission (WSSSC). This connection will be maintained through regular updates to WSSSC and representation from the Admissions and Registration Council (ARC) and the Advising and Counseling Council (ACC).</w:t>
      </w:r>
    </w:p>
    <w:p w14:paraId="0000002F" w14:textId="77777777" w:rsidR="00521ADE" w:rsidRPr="009863C7" w:rsidRDefault="00521ADE">
      <w:pPr>
        <w:rPr>
          <w:rFonts w:ascii="Franklin Gothic Book" w:eastAsia="Calibri" w:hAnsi="Franklin Gothic Book" w:cs="Calibri"/>
        </w:rPr>
      </w:pPr>
    </w:p>
    <w:p w14:paraId="00000030" w14:textId="77777777" w:rsidR="00521ADE" w:rsidRPr="009863C7" w:rsidRDefault="0029137F">
      <w:pPr>
        <w:rPr>
          <w:rFonts w:ascii="Franklin Gothic Book" w:eastAsia="Calibri" w:hAnsi="Franklin Gothic Book" w:cs="Calibri"/>
        </w:rPr>
      </w:pPr>
      <w:r w:rsidRPr="009863C7">
        <w:rPr>
          <w:rFonts w:ascii="Franklin Gothic Book" w:eastAsia="Calibri" w:hAnsi="Franklin Gothic Book" w:cs="Calibri"/>
        </w:rPr>
        <w:t>The council's work plan will align with and integrate into the IC work plan, specifically focusing on dual credit initiatives.</w:t>
      </w:r>
    </w:p>
    <w:sectPr w:rsidR="00521ADE" w:rsidRPr="009863C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1E63" w14:textId="77777777" w:rsidR="006127B9" w:rsidRDefault="006127B9" w:rsidP="006127B9">
      <w:pPr>
        <w:spacing w:line="240" w:lineRule="auto"/>
      </w:pPr>
      <w:r>
        <w:separator/>
      </w:r>
    </w:p>
  </w:endnote>
  <w:endnote w:type="continuationSeparator" w:id="0">
    <w:p w14:paraId="5CB257D9" w14:textId="77777777" w:rsidR="006127B9" w:rsidRDefault="006127B9" w:rsidP="0061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D486" w14:textId="117E1157" w:rsidR="006127B9" w:rsidRDefault="006127B9" w:rsidP="006127B9">
    <w:pPr>
      <w:pStyle w:val="Footer"/>
      <w:jc w:val="right"/>
    </w:pPr>
    <w:r>
      <w:tab/>
    </w:r>
    <w:r>
      <w:tab/>
    </w:r>
    <w:r>
      <w:tab/>
    </w:r>
    <w:r>
      <w:tab/>
    </w:r>
    <w:r>
      <w:tab/>
      <w:t xml:space="preserve">5.6.2025 Dual Credit Committee, Instruction Commission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61FD" w14:textId="77777777" w:rsidR="006127B9" w:rsidRDefault="006127B9" w:rsidP="006127B9">
      <w:pPr>
        <w:spacing w:line="240" w:lineRule="auto"/>
      </w:pPr>
      <w:r>
        <w:separator/>
      </w:r>
    </w:p>
  </w:footnote>
  <w:footnote w:type="continuationSeparator" w:id="0">
    <w:p w14:paraId="292D16D6" w14:textId="77777777" w:rsidR="006127B9" w:rsidRDefault="006127B9" w:rsidP="006127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7FB4"/>
    <w:multiLevelType w:val="multilevel"/>
    <w:tmpl w:val="07302828"/>
    <w:lvl w:ilvl="0">
      <w:start w:val="1"/>
      <w:numFmt w:val="bullet"/>
      <w:lvlText w:val="•"/>
      <w:lvlJc w:val="right"/>
      <w:pPr>
        <w:ind w:left="360" w:hanging="80"/>
      </w:pPr>
      <w:rPr>
        <w:u w:val="none"/>
      </w:rPr>
    </w:lvl>
    <w:lvl w:ilvl="1">
      <w:start w:val="1"/>
      <w:numFmt w:val="bullet"/>
      <w:lvlText w:val="•"/>
      <w:lvlJc w:val="right"/>
      <w:pPr>
        <w:ind w:left="1080" w:hanging="120"/>
      </w:pPr>
      <w:rPr>
        <w:u w:val="none"/>
      </w:rPr>
    </w:lvl>
    <w:lvl w:ilvl="2">
      <w:start w:val="1"/>
      <w:numFmt w:val="bullet"/>
      <w:lvlText w:val="•"/>
      <w:lvlJc w:val="right"/>
      <w:pPr>
        <w:ind w:left="1800" w:hanging="160"/>
      </w:pPr>
      <w:rPr>
        <w:u w:val="none"/>
      </w:rPr>
    </w:lvl>
    <w:lvl w:ilvl="3">
      <w:start w:val="1"/>
      <w:numFmt w:val="bullet"/>
      <w:lvlText w:val="•"/>
      <w:lvlJc w:val="right"/>
      <w:pPr>
        <w:ind w:left="2520" w:hanging="180"/>
      </w:pPr>
      <w:rPr>
        <w:u w:val="none"/>
      </w:rPr>
    </w:lvl>
    <w:lvl w:ilvl="4">
      <w:start w:val="1"/>
      <w:numFmt w:val="bullet"/>
      <w:lvlText w:val="•"/>
      <w:lvlJc w:val="right"/>
      <w:pPr>
        <w:ind w:left="3240" w:hanging="180"/>
      </w:pPr>
      <w:rPr>
        <w:u w:val="none"/>
      </w:rPr>
    </w:lvl>
    <w:lvl w:ilvl="5">
      <w:start w:val="1"/>
      <w:numFmt w:val="bullet"/>
      <w:lvlText w:val="•"/>
      <w:lvlJc w:val="right"/>
      <w:pPr>
        <w:ind w:left="3960" w:hanging="180"/>
      </w:pPr>
      <w:rPr>
        <w:u w:val="none"/>
      </w:rPr>
    </w:lvl>
    <w:lvl w:ilvl="6">
      <w:start w:val="1"/>
      <w:numFmt w:val="bullet"/>
      <w:lvlText w:val="•"/>
      <w:lvlJc w:val="right"/>
      <w:pPr>
        <w:ind w:left="4680" w:hanging="180"/>
      </w:pPr>
      <w:rPr>
        <w:u w:val="none"/>
      </w:rPr>
    </w:lvl>
    <w:lvl w:ilvl="7">
      <w:start w:val="1"/>
      <w:numFmt w:val="bullet"/>
      <w:lvlText w:val="•"/>
      <w:lvlJc w:val="right"/>
      <w:pPr>
        <w:ind w:left="5400" w:hanging="180"/>
      </w:pPr>
      <w:rPr>
        <w:u w:val="none"/>
      </w:rPr>
    </w:lvl>
    <w:lvl w:ilvl="8">
      <w:start w:val="1"/>
      <w:numFmt w:val="bullet"/>
      <w:lvlText w:val="•"/>
      <w:lvlJc w:val="right"/>
      <w:pPr>
        <w:ind w:left="6120" w:hanging="180"/>
      </w:pPr>
      <w:rPr>
        <w:u w:val="none"/>
      </w:rPr>
    </w:lvl>
  </w:abstractNum>
  <w:abstractNum w:abstractNumId="1" w15:restartNumberingAfterBreak="0">
    <w:nsid w:val="36D11E38"/>
    <w:multiLevelType w:val="hybridMultilevel"/>
    <w:tmpl w:val="1ED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B755F"/>
    <w:multiLevelType w:val="multilevel"/>
    <w:tmpl w:val="2ADE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9A0CD9"/>
    <w:multiLevelType w:val="multilevel"/>
    <w:tmpl w:val="1D965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744B35"/>
    <w:multiLevelType w:val="multilevel"/>
    <w:tmpl w:val="06740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1B6083"/>
    <w:multiLevelType w:val="multilevel"/>
    <w:tmpl w:val="9A3EC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4E6620"/>
    <w:multiLevelType w:val="hybridMultilevel"/>
    <w:tmpl w:val="797290B4"/>
    <w:lvl w:ilvl="0" w:tplc="17DEEAF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441218">
    <w:abstractNumId w:val="4"/>
  </w:num>
  <w:num w:numId="2" w16cid:durableId="577398776">
    <w:abstractNumId w:val="0"/>
  </w:num>
  <w:num w:numId="3" w16cid:durableId="2121296987">
    <w:abstractNumId w:val="2"/>
  </w:num>
  <w:num w:numId="4" w16cid:durableId="297956255">
    <w:abstractNumId w:val="3"/>
  </w:num>
  <w:num w:numId="5" w16cid:durableId="1544100650">
    <w:abstractNumId w:val="5"/>
  </w:num>
  <w:num w:numId="6" w16cid:durableId="1467964725">
    <w:abstractNumId w:val="6"/>
  </w:num>
  <w:num w:numId="7" w16cid:durableId="129637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DE"/>
    <w:rsid w:val="000371A8"/>
    <w:rsid w:val="00151680"/>
    <w:rsid w:val="001833D0"/>
    <w:rsid w:val="0029137F"/>
    <w:rsid w:val="00294F28"/>
    <w:rsid w:val="00300C9C"/>
    <w:rsid w:val="004976D7"/>
    <w:rsid w:val="00521ADE"/>
    <w:rsid w:val="005C57A2"/>
    <w:rsid w:val="005D5397"/>
    <w:rsid w:val="006127B9"/>
    <w:rsid w:val="006B3AC6"/>
    <w:rsid w:val="00740AA2"/>
    <w:rsid w:val="0082406B"/>
    <w:rsid w:val="00926DDF"/>
    <w:rsid w:val="00980E47"/>
    <w:rsid w:val="009863C7"/>
    <w:rsid w:val="00A102AF"/>
    <w:rsid w:val="00A23D57"/>
    <w:rsid w:val="00A31033"/>
    <w:rsid w:val="00A711B2"/>
    <w:rsid w:val="00A973EB"/>
    <w:rsid w:val="00C13FF8"/>
    <w:rsid w:val="00CD19FA"/>
    <w:rsid w:val="00D97422"/>
    <w:rsid w:val="00DB2011"/>
    <w:rsid w:val="00E56DF6"/>
    <w:rsid w:val="00F14D20"/>
    <w:rsid w:val="00F530B4"/>
    <w:rsid w:val="00FF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AA"/>
  <w15:docId w15:val="{C3AE7726-EE9C-41A0-A9C2-44D54859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56DF6"/>
    <w:pPr>
      <w:spacing w:line="240" w:lineRule="auto"/>
    </w:pPr>
  </w:style>
  <w:style w:type="paragraph" w:styleId="ListParagraph">
    <w:name w:val="List Paragraph"/>
    <w:basedOn w:val="Normal"/>
    <w:uiPriority w:val="34"/>
    <w:qFormat/>
    <w:rsid w:val="001833D0"/>
    <w:pPr>
      <w:ind w:left="720"/>
      <w:contextualSpacing/>
    </w:pPr>
  </w:style>
  <w:style w:type="character" w:styleId="Hyperlink">
    <w:name w:val="Hyperlink"/>
    <w:basedOn w:val="DefaultParagraphFont"/>
    <w:uiPriority w:val="99"/>
    <w:unhideWhenUsed/>
    <w:rsid w:val="00294F28"/>
    <w:rPr>
      <w:color w:val="0000FF" w:themeColor="hyperlink"/>
      <w:u w:val="single"/>
    </w:rPr>
  </w:style>
  <w:style w:type="character" w:styleId="UnresolvedMention">
    <w:name w:val="Unresolved Mention"/>
    <w:basedOn w:val="DefaultParagraphFont"/>
    <w:uiPriority w:val="99"/>
    <w:semiHidden/>
    <w:unhideWhenUsed/>
    <w:rsid w:val="00294F28"/>
    <w:rPr>
      <w:color w:val="605E5C"/>
      <w:shd w:val="clear" w:color="auto" w:fill="E1DFDD"/>
    </w:rPr>
  </w:style>
  <w:style w:type="character" w:styleId="CommentReference">
    <w:name w:val="annotation reference"/>
    <w:basedOn w:val="DefaultParagraphFont"/>
    <w:uiPriority w:val="99"/>
    <w:semiHidden/>
    <w:unhideWhenUsed/>
    <w:rsid w:val="00294F28"/>
    <w:rPr>
      <w:sz w:val="16"/>
      <w:szCs w:val="16"/>
    </w:rPr>
  </w:style>
  <w:style w:type="paragraph" w:styleId="CommentText">
    <w:name w:val="annotation text"/>
    <w:basedOn w:val="Normal"/>
    <w:link w:val="CommentTextChar"/>
    <w:uiPriority w:val="99"/>
    <w:unhideWhenUsed/>
    <w:rsid w:val="00294F28"/>
    <w:pPr>
      <w:spacing w:line="240" w:lineRule="auto"/>
    </w:pPr>
    <w:rPr>
      <w:sz w:val="20"/>
      <w:szCs w:val="20"/>
    </w:rPr>
  </w:style>
  <w:style w:type="character" w:customStyle="1" w:styleId="CommentTextChar">
    <w:name w:val="Comment Text Char"/>
    <w:basedOn w:val="DefaultParagraphFont"/>
    <w:link w:val="CommentText"/>
    <w:uiPriority w:val="99"/>
    <w:rsid w:val="00294F28"/>
    <w:rPr>
      <w:sz w:val="20"/>
      <w:szCs w:val="20"/>
    </w:rPr>
  </w:style>
  <w:style w:type="paragraph" w:styleId="CommentSubject">
    <w:name w:val="annotation subject"/>
    <w:basedOn w:val="CommentText"/>
    <w:next w:val="CommentText"/>
    <w:link w:val="CommentSubjectChar"/>
    <w:uiPriority w:val="99"/>
    <w:semiHidden/>
    <w:unhideWhenUsed/>
    <w:rsid w:val="00294F28"/>
    <w:rPr>
      <w:b/>
      <w:bCs/>
    </w:rPr>
  </w:style>
  <w:style w:type="character" w:customStyle="1" w:styleId="CommentSubjectChar">
    <w:name w:val="Comment Subject Char"/>
    <w:basedOn w:val="CommentTextChar"/>
    <w:link w:val="CommentSubject"/>
    <w:uiPriority w:val="99"/>
    <w:semiHidden/>
    <w:rsid w:val="00294F28"/>
    <w:rPr>
      <w:b/>
      <w:bCs/>
      <w:sz w:val="20"/>
      <w:szCs w:val="20"/>
    </w:rPr>
  </w:style>
  <w:style w:type="paragraph" w:styleId="NormalWeb">
    <w:name w:val="Normal (Web)"/>
    <w:basedOn w:val="Normal"/>
    <w:uiPriority w:val="99"/>
    <w:semiHidden/>
    <w:unhideWhenUsed/>
    <w:rsid w:val="00F14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27B9"/>
    <w:pPr>
      <w:tabs>
        <w:tab w:val="center" w:pos="4680"/>
        <w:tab w:val="right" w:pos="9360"/>
      </w:tabs>
      <w:spacing w:line="240" w:lineRule="auto"/>
    </w:pPr>
  </w:style>
  <w:style w:type="character" w:customStyle="1" w:styleId="HeaderChar">
    <w:name w:val="Header Char"/>
    <w:basedOn w:val="DefaultParagraphFont"/>
    <w:link w:val="Header"/>
    <w:uiPriority w:val="99"/>
    <w:rsid w:val="006127B9"/>
  </w:style>
  <w:style w:type="paragraph" w:styleId="Footer">
    <w:name w:val="footer"/>
    <w:basedOn w:val="Normal"/>
    <w:link w:val="FooterChar"/>
    <w:uiPriority w:val="99"/>
    <w:unhideWhenUsed/>
    <w:rsid w:val="006127B9"/>
    <w:pPr>
      <w:tabs>
        <w:tab w:val="center" w:pos="4680"/>
        <w:tab w:val="right" w:pos="9360"/>
      </w:tabs>
      <w:spacing w:line="240" w:lineRule="auto"/>
    </w:pPr>
  </w:style>
  <w:style w:type="character" w:customStyle="1" w:styleId="FooterChar">
    <w:name w:val="Footer Char"/>
    <w:basedOn w:val="DefaultParagraphFont"/>
    <w:link w:val="Footer"/>
    <w:uiPriority w:val="99"/>
    <w:rsid w:val="0061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224">
      <w:bodyDiv w:val="1"/>
      <w:marLeft w:val="0"/>
      <w:marRight w:val="0"/>
      <w:marTop w:val="0"/>
      <w:marBottom w:val="0"/>
      <w:divBdr>
        <w:top w:val="none" w:sz="0" w:space="0" w:color="auto"/>
        <w:left w:val="none" w:sz="0" w:space="0" w:color="auto"/>
        <w:bottom w:val="none" w:sz="0" w:space="0" w:color="auto"/>
        <w:right w:val="none" w:sz="0" w:space="0" w:color="auto"/>
      </w:divBdr>
    </w:div>
    <w:div w:id="612058704">
      <w:bodyDiv w:val="1"/>
      <w:marLeft w:val="0"/>
      <w:marRight w:val="0"/>
      <w:marTop w:val="0"/>
      <w:marBottom w:val="0"/>
      <w:divBdr>
        <w:top w:val="none" w:sz="0" w:space="0" w:color="auto"/>
        <w:left w:val="none" w:sz="0" w:space="0" w:color="auto"/>
        <w:bottom w:val="none" w:sz="0" w:space="0" w:color="auto"/>
        <w:right w:val="none" w:sz="0" w:space="0" w:color="auto"/>
      </w:divBdr>
    </w:div>
    <w:div w:id="956328988">
      <w:bodyDiv w:val="1"/>
      <w:marLeft w:val="0"/>
      <w:marRight w:val="0"/>
      <w:marTop w:val="0"/>
      <w:marBottom w:val="0"/>
      <w:divBdr>
        <w:top w:val="none" w:sz="0" w:space="0" w:color="auto"/>
        <w:left w:val="none" w:sz="0" w:space="0" w:color="auto"/>
        <w:bottom w:val="none" w:sz="0" w:space="0" w:color="auto"/>
        <w:right w:val="none" w:sz="0" w:space="0" w:color="auto"/>
      </w:divBdr>
    </w:div>
    <w:div w:id="1545364300">
      <w:bodyDiv w:val="1"/>
      <w:marLeft w:val="0"/>
      <w:marRight w:val="0"/>
      <w:marTop w:val="0"/>
      <w:marBottom w:val="0"/>
      <w:divBdr>
        <w:top w:val="none" w:sz="0" w:space="0" w:color="auto"/>
        <w:left w:val="none" w:sz="0" w:space="0" w:color="auto"/>
        <w:bottom w:val="none" w:sz="0" w:space="0" w:color="auto"/>
        <w:right w:val="none" w:sz="0" w:space="0" w:color="auto"/>
      </w:divBdr>
    </w:div>
    <w:div w:id="1727609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dc.wa.gov/publications-and-reports/dual-credit-dashboard"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dc.wa.gov/publications-and-reports/dual-credit-dashboar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Enrollment</a:t>
            </a:r>
            <a:r>
              <a:rPr lang="en-US" baseline="0"/>
              <a:t> Trends for Dual Credit Programs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CTE</c:v>
                </c:pt>
              </c:strCache>
            </c:strRef>
          </c:tx>
          <c:spPr>
            <a:ln w="28575" cap="rnd">
              <a:solidFill>
                <a:schemeClr val="accent1"/>
              </a:solidFill>
              <a:round/>
            </a:ln>
            <a:effectLst/>
          </c:spPr>
          <c:marker>
            <c:symbol val="none"/>
          </c:marker>
          <c:cat>
            <c:strRef>
              <c:f>Sheet1!$B$1:$J$2</c:f>
              <c:strCache>
                <c:ptCount val="9"/>
                <c:pt idx="0">
                  <c:v>2015</c:v>
                </c:pt>
                <c:pt idx="1">
                  <c:v>2016</c:v>
                </c:pt>
                <c:pt idx="2">
                  <c:v>2017</c:v>
                </c:pt>
                <c:pt idx="3">
                  <c:v>2018</c:v>
                </c:pt>
                <c:pt idx="4">
                  <c:v>2019</c:v>
                </c:pt>
                <c:pt idx="5">
                  <c:v>2020</c:v>
                </c:pt>
                <c:pt idx="6">
                  <c:v>2021</c:v>
                </c:pt>
                <c:pt idx="7">
                  <c:v>2022</c:v>
                </c:pt>
                <c:pt idx="8">
                  <c:v>2023</c:v>
                </c:pt>
              </c:strCache>
            </c:strRef>
          </c:cat>
          <c:val>
            <c:numRef>
              <c:f>Sheet1!$B$3:$J$3</c:f>
              <c:numCache>
                <c:formatCode>#,##0</c:formatCode>
                <c:ptCount val="9"/>
                <c:pt idx="0">
                  <c:v>58110</c:v>
                </c:pt>
                <c:pt idx="1">
                  <c:v>58450</c:v>
                </c:pt>
                <c:pt idx="2">
                  <c:v>59270</c:v>
                </c:pt>
                <c:pt idx="3">
                  <c:v>60510</c:v>
                </c:pt>
                <c:pt idx="4">
                  <c:v>59410</c:v>
                </c:pt>
                <c:pt idx="5">
                  <c:v>59580</c:v>
                </c:pt>
                <c:pt idx="6">
                  <c:v>62500</c:v>
                </c:pt>
                <c:pt idx="7">
                  <c:v>64760</c:v>
                </c:pt>
                <c:pt idx="8">
                  <c:v>65570</c:v>
                </c:pt>
              </c:numCache>
            </c:numRef>
          </c:val>
          <c:smooth val="0"/>
          <c:extLst>
            <c:ext xmlns:c16="http://schemas.microsoft.com/office/drawing/2014/chart" uri="{C3380CC4-5D6E-409C-BE32-E72D297353CC}">
              <c16:uniqueId val="{00000000-CEC9-434D-B295-F3279C1FEDED}"/>
            </c:ext>
          </c:extLst>
        </c:ser>
        <c:ser>
          <c:idx val="1"/>
          <c:order val="1"/>
          <c:tx>
            <c:strRef>
              <c:f>Sheet1!$A$4</c:f>
              <c:strCache>
                <c:ptCount val="1"/>
                <c:pt idx="0">
                  <c:v>CiHS</c:v>
                </c:pt>
              </c:strCache>
            </c:strRef>
          </c:tx>
          <c:spPr>
            <a:ln w="28575" cap="rnd">
              <a:solidFill>
                <a:schemeClr val="accent2"/>
              </a:solidFill>
              <a:round/>
            </a:ln>
            <a:effectLst/>
          </c:spPr>
          <c:marker>
            <c:symbol val="none"/>
          </c:marker>
          <c:cat>
            <c:strRef>
              <c:f>Sheet1!$B$1:$J$2</c:f>
              <c:strCache>
                <c:ptCount val="9"/>
                <c:pt idx="0">
                  <c:v>2015</c:v>
                </c:pt>
                <c:pt idx="1">
                  <c:v>2016</c:v>
                </c:pt>
                <c:pt idx="2">
                  <c:v>2017</c:v>
                </c:pt>
                <c:pt idx="3">
                  <c:v>2018</c:v>
                </c:pt>
                <c:pt idx="4">
                  <c:v>2019</c:v>
                </c:pt>
                <c:pt idx="5">
                  <c:v>2020</c:v>
                </c:pt>
                <c:pt idx="6">
                  <c:v>2021</c:v>
                </c:pt>
                <c:pt idx="7">
                  <c:v>2022</c:v>
                </c:pt>
                <c:pt idx="8">
                  <c:v>2023</c:v>
                </c:pt>
              </c:strCache>
            </c:strRef>
          </c:cat>
          <c:val>
            <c:numRef>
              <c:f>Sheet1!$B$4:$J$4</c:f>
              <c:numCache>
                <c:formatCode>#,##0</c:formatCode>
                <c:ptCount val="9"/>
                <c:pt idx="0">
                  <c:v>11660</c:v>
                </c:pt>
                <c:pt idx="1">
                  <c:v>12840</c:v>
                </c:pt>
                <c:pt idx="2">
                  <c:v>13930</c:v>
                </c:pt>
                <c:pt idx="3">
                  <c:v>18200</c:v>
                </c:pt>
                <c:pt idx="4">
                  <c:v>22320</c:v>
                </c:pt>
                <c:pt idx="5">
                  <c:v>25160</c:v>
                </c:pt>
                <c:pt idx="6">
                  <c:v>28250</c:v>
                </c:pt>
                <c:pt idx="7">
                  <c:v>30180</c:v>
                </c:pt>
                <c:pt idx="8">
                  <c:v>30260</c:v>
                </c:pt>
              </c:numCache>
            </c:numRef>
          </c:val>
          <c:smooth val="0"/>
          <c:extLst>
            <c:ext xmlns:c16="http://schemas.microsoft.com/office/drawing/2014/chart" uri="{C3380CC4-5D6E-409C-BE32-E72D297353CC}">
              <c16:uniqueId val="{00000001-CEC9-434D-B295-F3279C1FEDED}"/>
            </c:ext>
          </c:extLst>
        </c:ser>
        <c:ser>
          <c:idx val="2"/>
          <c:order val="2"/>
          <c:tx>
            <c:strRef>
              <c:f>Sheet1!$A$5</c:f>
              <c:strCache>
                <c:ptCount val="1"/>
                <c:pt idx="0">
                  <c:v>RS</c:v>
                </c:pt>
              </c:strCache>
            </c:strRef>
          </c:tx>
          <c:spPr>
            <a:ln w="28575" cap="rnd">
              <a:solidFill>
                <a:schemeClr val="accent3"/>
              </a:solidFill>
              <a:round/>
            </a:ln>
            <a:effectLst/>
          </c:spPr>
          <c:marker>
            <c:symbol val="none"/>
          </c:marker>
          <c:cat>
            <c:strRef>
              <c:f>Sheet1!$B$1:$J$2</c:f>
              <c:strCache>
                <c:ptCount val="9"/>
                <c:pt idx="0">
                  <c:v>2015</c:v>
                </c:pt>
                <c:pt idx="1">
                  <c:v>2016</c:v>
                </c:pt>
                <c:pt idx="2">
                  <c:v>2017</c:v>
                </c:pt>
                <c:pt idx="3">
                  <c:v>2018</c:v>
                </c:pt>
                <c:pt idx="4">
                  <c:v>2019</c:v>
                </c:pt>
                <c:pt idx="5">
                  <c:v>2020</c:v>
                </c:pt>
                <c:pt idx="6">
                  <c:v>2021</c:v>
                </c:pt>
                <c:pt idx="7">
                  <c:v>2022</c:v>
                </c:pt>
                <c:pt idx="8">
                  <c:v>2023</c:v>
                </c:pt>
              </c:strCache>
            </c:strRef>
          </c:cat>
          <c:val>
            <c:numRef>
              <c:f>Sheet1!$B$5:$J$5</c:f>
              <c:numCache>
                <c:formatCode>#,##0</c:formatCode>
                <c:ptCount val="9"/>
                <c:pt idx="0">
                  <c:v>14620</c:v>
                </c:pt>
                <c:pt idx="1">
                  <c:v>15620</c:v>
                </c:pt>
                <c:pt idx="2">
                  <c:v>15930</c:v>
                </c:pt>
                <c:pt idx="3">
                  <c:v>16230</c:v>
                </c:pt>
                <c:pt idx="4">
                  <c:v>17310</c:v>
                </c:pt>
                <c:pt idx="5">
                  <c:v>17910</c:v>
                </c:pt>
                <c:pt idx="6">
                  <c:v>18980</c:v>
                </c:pt>
                <c:pt idx="7">
                  <c:v>17450</c:v>
                </c:pt>
                <c:pt idx="8">
                  <c:v>16500</c:v>
                </c:pt>
              </c:numCache>
            </c:numRef>
          </c:val>
          <c:smooth val="0"/>
          <c:extLst>
            <c:ext xmlns:c16="http://schemas.microsoft.com/office/drawing/2014/chart" uri="{C3380CC4-5D6E-409C-BE32-E72D297353CC}">
              <c16:uniqueId val="{00000002-CEC9-434D-B295-F3279C1FEDED}"/>
            </c:ext>
          </c:extLst>
        </c:ser>
        <c:dLbls>
          <c:showLegendKey val="0"/>
          <c:showVal val="0"/>
          <c:showCatName val="0"/>
          <c:showSerName val="0"/>
          <c:showPercent val="0"/>
          <c:showBubbleSize val="0"/>
        </c:dLbls>
        <c:smooth val="0"/>
        <c:axId val="471021759"/>
        <c:axId val="471022239"/>
      </c:lineChart>
      <c:catAx>
        <c:axId val="47102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022239"/>
        <c:crosses val="autoZero"/>
        <c:auto val="1"/>
        <c:lblAlgn val="ctr"/>
        <c:lblOffset val="100"/>
        <c:noMultiLvlLbl val="0"/>
      </c:catAx>
      <c:valAx>
        <c:axId val="471022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021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Traugott</dc:creator>
  <cp:lastModifiedBy>Jamie Traugott</cp:lastModifiedBy>
  <cp:revision>2</cp:revision>
  <dcterms:created xsi:type="dcterms:W3CDTF">2025-06-18T19:32:00Z</dcterms:created>
  <dcterms:modified xsi:type="dcterms:W3CDTF">2025-06-18T19:32:00Z</dcterms:modified>
</cp:coreProperties>
</file>