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30" w:rsidRDefault="009C0630" w:rsidP="003C2B4A">
      <w:pPr>
        <w:spacing w:line="240" w:lineRule="auto"/>
        <w:contextualSpacing/>
        <w:rPr>
          <w:ins w:id="0" w:author="Marvin, H. Bruce (ATG)" w:date="2021-08-09T16:35:00Z"/>
          <w:rFonts w:ascii="Calibri" w:eastAsia="Calibri" w:hAnsi="Calibri" w:cs="Calibri"/>
          <w:b/>
          <w:sz w:val="24"/>
        </w:rPr>
      </w:pPr>
      <w:ins w:id="1" w:author="Marvin, H. Bruce (ATG)" w:date="2021-08-09T16:35:00Z">
        <w:r>
          <w:rPr>
            <w:rFonts w:ascii="Calibri" w:eastAsia="Calibri" w:hAnsi="Calibri" w:cs="Calibri"/>
            <w:b/>
            <w:sz w:val="24"/>
          </w:rPr>
          <w:t xml:space="preserve">UPDATED PROVISIONS TO MODEL SUPPLEMENTAL TITLE IX STUDENT CONDUCT CODE </w:t>
        </w:r>
      </w:ins>
    </w:p>
    <w:p w:rsidR="009C0630" w:rsidRDefault="009C0630" w:rsidP="003C2B4A">
      <w:pPr>
        <w:spacing w:line="240" w:lineRule="auto"/>
        <w:contextualSpacing/>
        <w:rPr>
          <w:ins w:id="2" w:author="Marvin, H. Bruce (ATG)" w:date="2021-08-09T16:35:00Z"/>
          <w:rFonts w:ascii="Calibri" w:eastAsia="Calibri" w:hAnsi="Calibri" w:cs="Calibri"/>
          <w:b/>
          <w:sz w:val="24"/>
        </w:rPr>
      </w:pPr>
    </w:p>
    <w:p w:rsidR="003C2B4A" w:rsidRDefault="003C2B4A" w:rsidP="003C2B4A">
      <w:pPr>
        <w:spacing w:line="240" w:lineRule="auto"/>
        <w:contextualSpacing/>
        <w:rPr>
          <w:rFonts w:ascii="Calibri" w:eastAsia="Calibri" w:hAnsi="Calibri" w:cs="Calibri"/>
          <w:b/>
          <w:sz w:val="24"/>
        </w:rPr>
      </w:pPr>
      <w:r w:rsidRPr="003C2B4A">
        <w:rPr>
          <w:rFonts w:ascii="Calibri" w:eastAsia="Calibri" w:hAnsi="Calibri" w:cs="Calibri"/>
          <w:b/>
          <w:sz w:val="24"/>
        </w:rPr>
        <w:t>WAC 132_-___-___</w:t>
      </w:r>
      <w:r w:rsidRPr="003C2B4A">
        <w:rPr>
          <w:rFonts w:ascii="Calibri" w:eastAsia="Calibri" w:hAnsi="Calibri" w:cs="Calibri"/>
          <w:b/>
          <w:sz w:val="24"/>
        </w:rPr>
        <w:tab/>
        <w:t>Order of Precedence</w:t>
      </w:r>
    </w:p>
    <w:p w:rsidR="003C2B4A" w:rsidRPr="003C2B4A" w:rsidRDefault="003C2B4A" w:rsidP="003C2B4A">
      <w:pPr>
        <w:spacing w:line="240" w:lineRule="auto"/>
        <w:contextualSpacing/>
        <w:rPr>
          <w:rFonts w:ascii="Calibri" w:eastAsia="Calibri" w:hAnsi="Calibri" w:cs="Calibri"/>
          <w:b/>
          <w:sz w:val="24"/>
        </w:rPr>
      </w:pPr>
    </w:p>
    <w:p w:rsidR="003C2B4A" w:rsidRPr="00632EE2" w:rsidRDefault="003C2B4A" w:rsidP="003C2B4A">
      <w:pPr>
        <w:spacing w:line="240" w:lineRule="auto"/>
        <w:ind w:left="720"/>
        <w:contextualSpacing/>
        <w:rPr>
          <w:ins w:id="3" w:author="Marvin, H. Bruce (ATG)" w:date="2021-08-09T16:31:00Z"/>
          <w:rFonts w:ascii="Calibri" w:eastAsia="Calibri" w:hAnsi="Calibri" w:cs="Calibri"/>
          <w:sz w:val="24"/>
        </w:rPr>
      </w:pPr>
      <w:r w:rsidRPr="003C2B4A">
        <w:rPr>
          <w:rFonts w:ascii="Calibri" w:eastAsia="Calibri" w:hAnsi="Calibri" w:cs="Calibri"/>
          <w:sz w:val="24"/>
        </w:rPr>
        <w:t xml:space="preserve">This supplemental procedure applies to allegations of Sexual Harassment subject to Title IX jurisdiction pursuant to regulations promulgated by the United States Department of Education. </w:t>
      </w:r>
      <w:r w:rsidRPr="003C2B4A">
        <w:rPr>
          <w:rFonts w:ascii="Calibri" w:eastAsia="Calibri" w:hAnsi="Calibri" w:cs="Calibri"/>
          <w:i/>
          <w:sz w:val="24"/>
        </w:rPr>
        <w:t xml:space="preserve">See </w:t>
      </w:r>
      <w:r w:rsidRPr="003C2B4A">
        <w:rPr>
          <w:rFonts w:ascii="Calibri" w:eastAsia="Calibri" w:hAnsi="Calibri" w:cs="Calibri"/>
          <w:sz w:val="24"/>
        </w:rPr>
        <w:t xml:space="preserve">34 C.F.R. § 106. To the extent these supplemental hearing procedures conflict with the </w:t>
      </w:r>
      <w:r w:rsidRPr="003C2B4A">
        <w:rPr>
          <w:rFonts w:ascii="Calibri" w:eastAsia="Calibri" w:hAnsi="Calibri" w:cs="Calibri"/>
          <w:i/>
          <w:sz w:val="24"/>
        </w:rPr>
        <w:t>[College or University]</w:t>
      </w:r>
      <w:r w:rsidRPr="003C2B4A">
        <w:rPr>
          <w:rFonts w:ascii="Calibri" w:eastAsia="Calibri" w:hAnsi="Calibri" w:cs="Calibri"/>
          <w:sz w:val="24"/>
        </w:rPr>
        <w:t>’s standard disciplinary procedures, WAC ___-___-___ through -___, these supplemental procedures shall take precedence.</w:t>
      </w:r>
      <w:r w:rsidRPr="003C2B4A">
        <w:rPr>
          <w:rFonts w:ascii="Calibri" w:eastAsia="Calibri" w:hAnsi="Calibri" w:cs="Calibri"/>
          <w:b/>
          <w:sz w:val="24"/>
        </w:rPr>
        <w:t xml:space="preserve"> </w:t>
      </w:r>
      <w:ins w:id="4" w:author="Marvin, H. Bruce (ATG)" w:date="2021-08-09T16:31:00Z">
        <w:r w:rsidRPr="00632EE2">
          <w:rPr>
            <w:rFonts w:ascii="Calibri" w:eastAsia="Calibri" w:hAnsi="Calibri" w:cs="Calibri"/>
            <w:i/>
            <w:sz w:val="24"/>
          </w:rPr>
          <w:t>[College or University]</w:t>
        </w:r>
        <w:r w:rsidRPr="00632EE2">
          <w:rPr>
            <w:rFonts w:ascii="Calibri" w:eastAsia="Calibri" w:hAnsi="Calibri" w:cs="Calibri"/>
            <w:sz w:val="24"/>
          </w:rPr>
          <w:t xml:space="preserve"> may, at its discretion, contract with an administrative law judge or other person to act as presiding officer and assign such presiding officer to exercise any or all of the duties in lieu of the student conduct committee and committee chair.</w:t>
        </w:r>
      </w:ins>
    </w:p>
    <w:p w:rsidR="003C2B4A" w:rsidRDefault="003C2B4A" w:rsidP="008D2E64">
      <w:pPr>
        <w:spacing w:line="240" w:lineRule="auto"/>
        <w:contextualSpacing/>
        <w:rPr>
          <w:ins w:id="5" w:author="Marvin, H. Bruce (ATG)" w:date="2021-08-09T16:32:00Z"/>
          <w:rFonts w:ascii="Calibri" w:eastAsia="Calibri" w:hAnsi="Calibri" w:cs="Calibri"/>
          <w:b/>
          <w:sz w:val="24"/>
        </w:rPr>
      </w:pPr>
    </w:p>
    <w:p w:rsidR="003C2B4A" w:rsidRDefault="003C2B4A" w:rsidP="008D2E64">
      <w:pPr>
        <w:spacing w:line="240" w:lineRule="auto"/>
        <w:contextualSpacing/>
        <w:rPr>
          <w:ins w:id="6" w:author="Marvin, H. Bruce (ATG)" w:date="2021-08-09T16:31:00Z"/>
          <w:rFonts w:ascii="Calibri" w:eastAsia="Calibri" w:hAnsi="Calibri" w:cs="Calibri"/>
          <w:b/>
          <w:sz w:val="24"/>
        </w:rPr>
      </w:pPr>
    </w:p>
    <w:p w:rsidR="003C2B4A" w:rsidRDefault="003C2B4A" w:rsidP="008D2E64">
      <w:pPr>
        <w:spacing w:line="240" w:lineRule="auto"/>
        <w:contextualSpacing/>
        <w:rPr>
          <w:ins w:id="7" w:author="Marvin, H. Bruce (ATG)" w:date="2021-08-09T16:31:00Z"/>
          <w:rFonts w:ascii="Calibri" w:eastAsia="Calibri" w:hAnsi="Calibri" w:cs="Calibri"/>
          <w:b/>
          <w:sz w:val="24"/>
        </w:rPr>
      </w:pPr>
    </w:p>
    <w:p w:rsidR="008D2E64" w:rsidRDefault="008D2E64" w:rsidP="008D2E64">
      <w:pPr>
        <w:spacing w:line="240" w:lineRule="auto"/>
        <w:contextualSpacing/>
        <w:rPr>
          <w:rFonts w:ascii="Calibri" w:eastAsia="Calibri" w:hAnsi="Calibri" w:cs="Calibri"/>
          <w:b/>
          <w:sz w:val="24"/>
        </w:rPr>
      </w:pPr>
      <w:r w:rsidRPr="008D2E64">
        <w:rPr>
          <w:rFonts w:ascii="Calibri" w:eastAsia="Calibri" w:hAnsi="Calibri" w:cs="Calibri"/>
          <w:b/>
          <w:sz w:val="24"/>
        </w:rPr>
        <w:t>WAC 132_-___-___</w:t>
      </w:r>
      <w:r w:rsidRPr="008D2E64">
        <w:rPr>
          <w:rFonts w:ascii="Calibri" w:eastAsia="Calibri" w:hAnsi="Calibri" w:cs="Calibri"/>
          <w:b/>
          <w:sz w:val="24"/>
        </w:rPr>
        <w:tab/>
        <w:t>Appeals</w:t>
      </w:r>
    </w:p>
    <w:p w:rsidR="008D2E64" w:rsidRPr="008D2E64" w:rsidRDefault="008D2E64" w:rsidP="008D2E64">
      <w:pPr>
        <w:spacing w:line="240" w:lineRule="auto"/>
        <w:contextualSpacing/>
        <w:rPr>
          <w:rFonts w:ascii="Calibri" w:eastAsia="Calibri" w:hAnsi="Calibri" w:cs="Calibri"/>
          <w:b/>
          <w:sz w:val="24"/>
        </w:rPr>
      </w:pPr>
    </w:p>
    <w:p w:rsidR="007E0C15" w:rsidRPr="007E0C15" w:rsidRDefault="007E0C15" w:rsidP="007E0C15">
      <w:pPr>
        <w:numPr>
          <w:ilvl w:val="0"/>
          <w:numId w:val="1"/>
        </w:numPr>
        <w:spacing w:line="240" w:lineRule="auto"/>
        <w:contextualSpacing/>
        <w:rPr>
          <w:rFonts w:ascii="Calibri" w:eastAsia="Calibri" w:hAnsi="Calibri" w:cs="Calibri"/>
          <w:sz w:val="24"/>
        </w:rPr>
      </w:pPr>
      <w:r w:rsidRPr="007E0C15">
        <w:rPr>
          <w:rFonts w:ascii="Calibri" w:eastAsia="Calibri" w:hAnsi="Calibri" w:cs="Calibri"/>
          <w:sz w:val="24"/>
        </w:rPr>
        <w:t xml:space="preserve">All Parties, including the </w:t>
      </w:r>
      <w:r w:rsidRPr="007E0C15">
        <w:rPr>
          <w:rFonts w:ascii="Calibri" w:eastAsia="Calibri" w:hAnsi="Calibri" w:cs="Calibri"/>
          <w:i/>
          <w:sz w:val="24"/>
        </w:rPr>
        <w:t>[student conduct officer]</w:t>
      </w:r>
      <w:r w:rsidRPr="007E0C15">
        <w:rPr>
          <w:rFonts w:ascii="Calibri" w:eastAsia="Calibri" w:hAnsi="Calibri" w:cs="Calibri"/>
          <w:sz w:val="24"/>
        </w:rPr>
        <w:t xml:space="preserve"> in their capacity as a representative of the College, have the right to appeal from the determination of responsibility and/or from a dismissal, in whole or part, of a formal complaint during the investigative or hearing process.  Appeals </w:t>
      </w:r>
      <w:r w:rsidR="00F90FF0">
        <w:rPr>
          <w:rFonts w:ascii="Calibri" w:eastAsia="Calibri" w:hAnsi="Calibri" w:cs="Calibri"/>
          <w:sz w:val="24"/>
        </w:rPr>
        <w:t xml:space="preserve">must </w:t>
      </w:r>
      <w:r w:rsidRPr="007E0C15">
        <w:rPr>
          <w:rFonts w:ascii="Calibri" w:eastAsia="Calibri" w:hAnsi="Calibri" w:cs="Calibri"/>
          <w:sz w:val="24"/>
        </w:rPr>
        <w:t xml:space="preserve">be in writing and filed with the </w:t>
      </w:r>
      <w:r w:rsidRPr="007E0C15">
        <w:rPr>
          <w:rFonts w:ascii="Calibri" w:eastAsia="Calibri" w:hAnsi="Calibri" w:cs="Calibri"/>
          <w:i/>
          <w:sz w:val="24"/>
        </w:rPr>
        <w:t xml:space="preserve">[President’s Office] </w:t>
      </w:r>
      <w:r w:rsidRPr="007E0C15">
        <w:rPr>
          <w:rFonts w:ascii="Calibri" w:eastAsia="Calibri" w:hAnsi="Calibri" w:cs="Calibri"/>
          <w:sz w:val="24"/>
        </w:rPr>
        <w:t>within twenty-one (21) days of service of the initial order or notice of dismissal.   Appeals must identify the specific findings of fact and/or conclusions of law in the initial order or dismissal that the appealing party is challenging and must contain argument as to why the appeal should be granted.  Failure to file a timely appeal constitutes a waiver of the right to appeal and the initial order or dismissal shall be deemed final.</w:t>
      </w:r>
    </w:p>
    <w:p w:rsidR="007E0C15" w:rsidRPr="007E0C15" w:rsidRDefault="007E0C15" w:rsidP="007E0C15">
      <w:pPr>
        <w:numPr>
          <w:ilvl w:val="0"/>
          <w:numId w:val="1"/>
        </w:numPr>
        <w:spacing w:line="240" w:lineRule="auto"/>
        <w:contextualSpacing/>
        <w:rPr>
          <w:rFonts w:ascii="Calibri" w:eastAsia="Calibri" w:hAnsi="Calibri" w:cs="Calibri"/>
          <w:sz w:val="24"/>
        </w:rPr>
      </w:pPr>
      <w:r w:rsidRPr="007E0C15">
        <w:rPr>
          <w:rFonts w:ascii="Calibri" w:eastAsia="Calibri" w:hAnsi="Calibri" w:cs="Calibri"/>
          <w:sz w:val="24"/>
        </w:rPr>
        <w:t xml:space="preserve">Upon receiving a timely appeal, the </w:t>
      </w:r>
      <w:r w:rsidRPr="007E0C15">
        <w:rPr>
          <w:rFonts w:ascii="Calibri" w:eastAsia="Calibri" w:hAnsi="Calibri" w:cs="Calibri"/>
          <w:i/>
          <w:sz w:val="24"/>
        </w:rPr>
        <w:t>[President’s Office]</w:t>
      </w:r>
      <w:r w:rsidRPr="007E0C15">
        <w:rPr>
          <w:rFonts w:ascii="Calibri" w:eastAsia="Calibri" w:hAnsi="Calibri" w:cs="Calibri"/>
          <w:sz w:val="24"/>
        </w:rPr>
        <w:t xml:space="preserve"> will serve a copy of the appeal on all parties, who will have ten (10) days from the date of service to submit written responses to </w:t>
      </w:r>
      <w:r w:rsidRPr="007E0C15">
        <w:rPr>
          <w:rFonts w:ascii="Calibri" w:eastAsia="Calibri" w:hAnsi="Calibri" w:cs="Calibri"/>
          <w:i/>
          <w:sz w:val="24"/>
        </w:rPr>
        <w:t>[the President’s Office]</w:t>
      </w:r>
      <w:r w:rsidRPr="007E0C15">
        <w:rPr>
          <w:rFonts w:ascii="Calibri" w:eastAsia="Calibri" w:hAnsi="Calibri" w:cs="Calibri"/>
          <w:sz w:val="24"/>
        </w:rPr>
        <w:t xml:space="preserve"> addressing issues raised in the appeal.  Failure to file a timely response constitutes a waiver of the right to participate in the appeal.  Upon receipt of written responses, </w:t>
      </w:r>
      <w:r w:rsidRPr="007E0C15">
        <w:rPr>
          <w:rFonts w:ascii="Calibri" w:eastAsia="Calibri" w:hAnsi="Calibri" w:cs="Calibri"/>
          <w:i/>
          <w:sz w:val="24"/>
        </w:rPr>
        <w:t>[the President’s Office]</w:t>
      </w:r>
      <w:r w:rsidRPr="007E0C15">
        <w:rPr>
          <w:rFonts w:ascii="Calibri" w:eastAsia="Calibri" w:hAnsi="Calibri" w:cs="Calibri"/>
          <w:sz w:val="24"/>
        </w:rPr>
        <w:t xml:space="preserve"> shall serve copies of the responses to the other parties. </w:t>
      </w:r>
    </w:p>
    <w:p w:rsidR="007E0C15" w:rsidRPr="007E0C15" w:rsidRDefault="007E0C15" w:rsidP="007E0C15">
      <w:pPr>
        <w:numPr>
          <w:ilvl w:val="0"/>
          <w:numId w:val="1"/>
        </w:numPr>
        <w:spacing w:line="240" w:lineRule="auto"/>
        <w:contextualSpacing/>
        <w:rPr>
          <w:rFonts w:ascii="Calibri" w:eastAsia="Calibri" w:hAnsi="Calibri" w:cs="Calibri"/>
          <w:sz w:val="24"/>
        </w:rPr>
      </w:pPr>
      <w:r w:rsidRPr="007E0C15">
        <w:rPr>
          <w:rFonts w:ascii="Calibri" w:eastAsia="Calibri" w:hAnsi="Calibri" w:cs="Calibri"/>
          <w:sz w:val="24"/>
        </w:rPr>
        <w:t xml:space="preserve">Parties receiving a copy of the responses shall have five (5) days in which to submit a written reply addressing issues raised in the responses to the </w:t>
      </w:r>
      <w:r w:rsidRPr="007E0C15">
        <w:rPr>
          <w:rFonts w:ascii="Calibri" w:eastAsia="Calibri" w:hAnsi="Calibri" w:cs="Calibri"/>
          <w:i/>
          <w:sz w:val="24"/>
        </w:rPr>
        <w:t>[President’s Office].</w:t>
      </w:r>
    </w:p>
    <w:p w:rsidR="007E0C15" w:rsidRPr="007E0C15" w:rsidRDefault="007E0C15" w:rsidP="007E0C15">
      <w:pPr>
        <w:numPr>
          <w:ilvl w:val="0"/>
          <w:numId w:val="1"/>
        </w:numPr>
        <w:spacing w:line="240" w:lineRule="auto"/>
        <w:contextualSpacing/>
        <w:rPr>
          <w:rFonts w:ascii="Calibri" w:eastAsia="Calibri" w:hAnsi="Calibri" w:cs="Calibri"/>
          <w:sz w:val="24"/>
        </w:rPr>
      </w:pPr>
      <w:r w:rsidRPr="007E0C15">
        <w:rPr>
          <w:rFonts w:ascii="Calibri" w:eastAsia="Calibri" w:hAnsi="Calibri" w:cs="Calibri"/>
          <w:i/>
          <w:sz w:val="24"/>
        </w:rPr>
        <w:t>[The President or their delegate]</w:t>
      </w:r>
      <w:r w:rsidRPr="007E0C15">
        <w:rPr>
          <w:rFonts w:ascii="Calibri" w:eastAsia="Calibri" w:hAnsi="Calibri" w:cs="Calibri"/>
          <w:sz w:val="24"/>
        </w:rPr>
        <w:t xml:space="preserve">, based on their review of Parties’ submissions and the hearing or investigative record, will determine whether the grounds for appeal have merit, provide the rationale for this conclusion, and state whether a dismissal if affirmed or denied, or if the disciplinary sanctions and conditions imposed in the Initial Order are affirmed, vacated, or amended, and, if amended, set forth the new disciplinary sanctions and conditions. </w:t>
      </w:r>
    </w:p>
    <w:p w:rsidR="007E0C15" w:rsidRPr="007E0C15" w:rsidRDefault="007E0C15" w:rsidP="007E0C15">
      <w:pPr>
        <w:numPr>
          <w:ilvl w:val="0"/>
          <w:numId w:val="1"/>
        </w:numPr>
        <w:spacing w:line="240" w:lineRule="auto"/>
        <w:contextualSpacing/>
        <w:rPr>
          <w:rFonts w:ascii="Calibri" w:eastAsia="Calibri" w:hAnsi="Calibri" w:cs="Calibri"/>
          <w:sz w:val="24"/>
        </w:rPr>
      </w:pPr>
      <w:r w:rsidRPr="007E0C15">
        <w:rPr>
          <w:rFonts w:ascii="Calibri" w:eastAsia="Calibri" w:hAnsi="Calibri" w:cs="Calibri"/>
          <w:sz w:val="24"/>
        </w:rPr>
        <w:t xml:space="preserve">The President’s Office shall serve the Final Decision on the parties simultaneously. </w:t>
      </w:r>
    </w:p>
    <w:p w:rsidR="007E0C15" w:rsidRPr="007E0C15" w:rsidRDefault="007E0C15" w:rsidP="00EF6C0E">
      <w:pPr>
        <w:numPr>
          <w:ilvl w:val="0"/>
          <w:numId w:val="1"/>
        </w:numPr>
        <w:spacing w:line="240" w:lineRule="auto"/>
        <w:contextualSpacing/>
        <w:rPr>
          <w:rFonts w:ascii="Calibri" w:eastAsia="Calibri" w:hAnsi="Calibri" w:cs="Calibri"/>
          <w:sz w:val="24"/>
        </w:rPr>
      </w:pPr>
      <w:r w:rsidRPr="003C2B4A">
        <w:rPr>
          <w:rFonts w:ascii="Calibri" w:eastAsia="Calibri" w:hAnsi="Calibri" w:cs="Calibri"/>
          <w:sz w:val="24"/>
        </w:rPr>
        <w:t xml:space="preserve">All administrative decisions reached through this process are and may be judicially appealed pursuant to applicable provisions of RCW 34.05, including, but not limited to, the timelines set forth in RCW 34.05.542. No decisions or recommendations arising from </w:t>
      </w:r>
      <w:r w:rsidRPr="003C2B4A">
        <w:rPr>
          <w:rFonts w:ascii="Calibri" w:eastAsia="Calibri" w:hAnsi="Calibri" w:cs="Calibri"/>
          <w:sz w:val="24"/>
        </w:rPr>
        <w:lastRenderedPageBreak/>
        <w:t>this disciplinary procedure will be subject to grievance pursuant to any Collective Bargaining Agreement.</w:t>
      </w:r>
    </w:p>
    <w:p w:rsidR="00CD0610" w:rsidRDefault="009C0630" w:rsidP="003C2B4A"/>
    <w:sectPr w:rsidR="00CD06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4A" w:rsidRDefault="003C2B4A" w:rsidP="003C2B4A">
      <w:pPr>
        <w:spacing w:after="0" w:line="240" w:lineRule="auto"/>
      </w:pPr>
      <w:r>
        <w:separator/>
      </w:r>
    </w:p>
  </w:endnote>
  <w:endnote w:type="continuationSeparator" w:id="0">
    <w:p w:rsidR="003C2B4A" w:rsidRDefault="003C2B4A" w:rsidP="003C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30" w:rsidRDefault="009C0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30" w:rsidRDefault="009C0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30" w:rsidRDefault="009C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4A" w:rsidRDefault="003C2B4A" w:rsidP="003C2B4A">
      <w:pPr>
        <w:spacing w:after="0" w:line="240" w:lineRule="auto"/>
      </w:pPr>
      <w:r>
        <w:separator/>
      </w:r>
    </w:p>
  </w:footnote>
  <w:footnote w:type="continuationSeparator" w:id="0">
    <w:p w:rsidR="003C2B4A" w:rsidRDefault="003C2B4A" w:rsidP="003C2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30" w:rsidRDefault="009C0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30" w:rsidRDefault="009C0630">
    <w:pPr>
      <w:pStyle w:val="Header"/>
    </w:pPr>
    <w:ins w:id="8" w:author="Marvin, H. Bruce (ATG)" w:date="2021-08-09T16:35:00Z">
      <w:r>
        <w:t>Revised August 2, 2021</w:t>
      </w:r>
    </w:ins>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30" w:rsidRDefault="009C0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6593"/>
    <w:multiLevelType w:val="hybridMultilevel"/>
    <w:tmpl w:val="F266C330"/>
    <w:lvl w:ilvl="0" w:tplc="0CA09B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vin, H. Bruce (ATG)">
    <w15:presenceInfo w15:providerId="AD" w15:userId="S-1-5-21-1201443527-2957782764-2640485559-9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15"/>
    <w:rsid w:val="002F30B4"/>
    <w:rsid w:val="003C2B4A"/>
    <w:rsid w:val="00632EE2"/>
    <w:rsid w:val="00647E70"/>
    <w:rsid w:val="007E0C15"/>
    <w:rsid w:val="008D2E64"/>
    <w:rsid w:val="009A58E9"/>
    <w:rsid w:val="009C0630"/>
    <w:rsid w:val="009C3A04"/>
    <w:rsid w:val="00D41E3C"/>
    <w:rsid w:val="00DA6BD0"/>
    <w:rsid w:val="00F9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0279"/>
  <w15:chartTrackingRefBased/>
  <w15:docId w15:val="{6112E933-952D-46AB-8B13-DF840A00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2B4A"/>
    <w:pPr>
      <w:spacing w:after="0" w:line="240" w:lineRule="auto"/>
    </w:pPr>
    <w:rPr>
      <w:rFonts w:cstheme="minorHAnsi"/>
      <w:sz w:val="20"/>
      <w:szCs w:val="20"/>
    </w:rPr>
  </w:style>
  <w:style w:type="character" w:customStyle="1" w:styleId="FootnoteTextChar">
    <w:name w:val="Footnote Text Char"/>
    <w:basedOn w:val="DefaultParagraphFont"/>
    <w:link w:val="FootnoteText"/>
    <w:uiPriority w:val="99"/>
    <w:rsid w:val="003C2B4A"/>
    <w:rPr>
      <w:rFonts w:cstheme="minorHAnsi"/>
      <w:sz w:val="20"/>
      <w:szCs w:val="20"/>
    </w:rPr>
  </w:style>
  <w:style w:type="character" w:styleId="FootnoteReference">
    <w:name w:val="footnote reference"/>
    <w:basedOn w:val="DefaultParagraphFont"/>
    <w:uiPriority w:val="99"/>
    <w:semiHidden/>
    <w:unhideWhenUsed/>
    <w:rsid w:val="003C2B4A"/>
    <w:rPr>
      <w:vertAlign w:val="superscript"/>
    </w:rPr>
  </w:style>
  <w:style w:type="paragraph" w:styleId="BalloonText">
    <w:name w:val="Balloon Text"/>
    <w:basedOn w:val="Normal"/>
    <w:link w:val="BalloonTextChar"/>
    <w:uiPriority w:val="99"/>
    <w:semiHidden/>
    <w:unhideWhenUsed/>
    <w:rsid w:val="003C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4A"/>
    <w:rPr>
      <w:rFonts w:ascii="Segoe UI" w:hAnsi="Segoe UI" w:cs="Segoe UI"/>
      <w:sz w:val="18"/>
      <w:szCs w:val="18"/>
    </w:rPr>
  </w:style>
  <w:style w:type="paragraph" w:styleId="Header">
    <w:name w:val="header"/>
    <w:basedOn w:val="Normal"/>
    <w:link w:val="HeaderChar"/>
    <w:uiPriority w:val="99"/>
    <w:unhideWhenUsed/>
    <w:rsid w:val="009C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630"/>
  </w:style>
  <w:style w:type="paragraph" w:styleId="Footer">
    <w:name w:val="footer"/>
    <w:basedOn w:val="Normal"/>
    <w:link w:val="FooterChar"/>
    <w:uiPriority w:val="99"/>
    <w:unhideWhenUsed/>
    <w:rsid w:val="009C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 Bruce (ATG)</dc:creator>
  <cp:keywords/>
  <dc:description/>
  <cp:lastModifiedBy>Marvin, H. Bruce (ATG)</cp:lastModifiedBy>
  <cp:revision>3</cp:revision>
  <dcterms:created xsi:type="dcterms:W3CDTF">2021-08-09T23:34:00Z</dcterms:created>
  <dcterms:modified xsi:type="dcterms:W3CDTF">2021-08-09T23:36:00Z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1264551206</vt:i4>
  </property>
  <property fmtid="{D5CDD505-2E9C-101B-9397-08002B2CF9AE}" pid="3" name="_NewReviewCycle">
    <vt:lpwstr/>
  </property>
  <property fmtid="{D5CDD505-2E9C-101B-9397-08002B2CF9AE}" pid="4" name="_EmailSubject">
    <vt:lpwstr>Title IX Procedure Updates</vt:lpwstr>
  </property>
  <property fmtid="{D5CDD505-2E9C-101B-9397-08002B2CF9AE}" pid="5" name="_AuthorEmail">
    <vt:lpwstr>HBruce.Marvin@atg.wa.gov</vt:lpwstr>
  </property>
  <property fmtid="{D5CDD505-2E9C-101B-9397-08002B2CF9AE}" pid="6" name="_AuthorEmailDisplayName">
    <vt:lpwstr>Marvin, H. Bruce (ATG)</vt:lpwstr>
  </property>
</Properties>
</file>