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3AA9" w14:textId="3A3415F2" w:rsidR="00F65667" w:rsidRDefault="001B1F47">
      <w:bookmarkStart w:id="0" w:name="_GoBack"/>
      <w:bookmarkEnd w:id="0"/>
      <w:r>
        <w:t>NWAC Sports Medicine Advisory Committee</w:t>
      </w:r>
    </w:p>
    <w:p w14:paraId="7B3ABBFA" w14:textId="38272927" w:rsidR="001B1F47" w:rsidRDefault="001B1F47">
      <w:r>
        <w:t>Summary of changes 1/</w:t>
      </w:r>
      <w:r w:rsidR="005D5065">
        <w:t>23</w:t>
      </w:r>
      <w: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460"/>
      </w:tblGrid>
      <w:tr w:rsidR="005D5065" w14:paraId="361DADA1" w14:textId="77777777" w:rsidTr="005D5065">
        <w:tc>
          <w:tcPr>
            <w:tcW w:w="890" w:type="dxa"/>
          </w:tcPr>
          <w:p w14:paraId="2ECE3F10" w14:textId="493A59DF" w:rsidR="005D5065" w:rsidRPr="005D5065" w:rsidRDefault="005D5065" w:rsidP="001B1F47">
            <w:pPr>
              <w:rPr>
                <w:b/>
                <w:bCs/>
              </w:rPr>
            </w:pPr>
            <w:r w:rsidRPr="005D5065">
              <w:rPr>
                <w:b/>
                <w:bCs/>
              </w:rPr>
              <w:t>Section</w:t>
            </w:r>
          </w:p>
        </w:tc>
        <w:tc>
          <w:tcPr>
            <w:tcW w:w="8460" w:type="dxa"/>
          </w:tcPr>
          <w:p w14:paraId="395612D8" w14:textId="75DEEDF1" w:rsidR="005D5065" w:rsidRPr="005D5065" w:rsidRDefault="005D5065" w:rsidP="001B1F47">
            <w:pPr>
              <w:rPr>
                <w:b/>
                <w:bCs/>
              </w:rPr>
            </w:pPr>
            <w:r w:rsidRPr="005D5065">
              <w:rPr>
                <w:b/>
                <w:bCs/>
              </w:rPr>
              <w:t>Changes Made</w:t>
            </w:r>
          </w:p>
        </w:tc>
      </w:tr>
      <w:tr w:rsidR="0042613D" w14:paraId="1CB7D203" w14:textId="77777777" w:rsidTr="005D5065">
        <w:tc>
          <w:tcPr>
            <w:tcW w:w="890" w:type="dxa"/>
          </w:tcPr>
          <w:p w14:paraId="5B5375CF" w14:textId="43BB9946" w:rsidR="0042613D" w:rsidRDefault="0042613D" w:rsidP="0042613D">
            <w:r>
              <w:t>3.5.1</w:t>
            </w:r>
          </w:p>
        </w:tc>
        <w:tc>
          <w:tcPr>
            <w:tcW w:w="8460" w:type="dxa"/>
          </w:tcPr>
          <w:p w14:paraId="0EF3F6D6" w14:textId="77777777" w:rsidR="0042613D" w:rsidRDefault="0042613D" w:rsidP="0042613D">
            <w:pPr>
              <w:rPr>
                <w:b/>
                <w:bCs/>
              </w:rPr>
            </w:pPr>
            <w:r w:rsidRPr="005D5065">
              <w:rPr>
                <w:b/>
                <w:bCs/>
              </w:rPr>
              <w:t>Added</w:t>
            </w:r>
          </w:p>
          <w:p w14:paraId="40513281" w14:textId="77777777" w:rsidR="0042613D" w:rsidRPr="005D5065" w:rsidRDefault="0042613D" w:rsidP="0042613D">
            <w:r w:rsidRPr="005D5065">
              <w:t>3.5.1 Medical Personnel</w:t>
            </w:r>
          </w:p>
          <w:p w14:paraId="060B52A3" w14:textId="77777777" w:rsidR="0042613D" w:rsidRPr="005D5065" w:rsidRDefault="0042613D" w:rsidP="0042613D">
            <w:r w:rsidRPr="005D5065">
              <w:t xml:space="preserve">Institutions must provide, and as required by State and OSHA requirements, the appropriate levels of PPE for medical providers. This includes, but is not limited to; </w:t>
            </w:r>
          </w:p>
          <w:p w14:paraId="7B6DED89" w14:textId="77777777" w:rsidR="0042613D" w:rsidRPr="005D5065" w:rsidRDefault="0042613D" w:rsidP="0042613D">
            <w:r w:rsidRPr="005D5065">
              <w:t>•</w:t>
            </w:r>
            <w:r w:rsidRPr="005D5065">
              <w:tab/>
              <w:t>N95/KN95 masks</w:t>
            </w:r>
          </w:p>
          <w:p w14:paraId="433E950F" w14:textId="77777777" w:rsidR="0042613D" w:rsidRPr="005D5065" w:rsidRDefault="0042613D" w:rsidP="0042613D">
            <w:r w:rsidRPr="005D5065">
              <w:t>•</w:t>
            </w:r>
            <w:r w:rsidRPr="005D5065">
              <w:tab/>
              <w:t>Face Shields or Eye Protection</w:t>
            </w:r>
          </w:p>
          <w:p w14:paraId="2BDB722C" w14:textId="52E936B1" w:rsidR="0042613D" w:rsidRDefault="0042613D" w:rsidP="0042613D">
            <w:r w:rsidRPr="005D5065">
              <w:t>•</w:t>
            </w:r>
            <w:r w:rsidRPr="005D5065">
              <w:tab/>
              <w:t>Gloves</w:t>
            </w:r>
          </w:p>
        </w:tc>
      </w:tr>
      <w:tr w:rsidR="0042613D" w14:paraId="6C5D5428" w14:textId="77777777" w:rsidTr="005D5065">
        <w:tc>
          <w:tcPr>
            <w:tcW w:w="890" w:type="dxa"/>
          </w:tcPr>
          <w:p w14:paraId="53007044" w14:textId="5524FF3D" w:rsidR="0042613D" w:rsidRDefault="0042613D" w:rsidP="0042613D">
            <w:r>
              <w:t xml:space="preserve">4.6 </w:t>
            </w:r>
          </w:p>
        </w:tc>
        <w:tc>
          <w:tcPr>
            <w:tcW w:w="8460" w:type="dxa"/>
          </w:tcPr>
          <w:p w14:paraId="10F137F0" w14:textId="77777777" w:rsidR="0042613D" w:rsidRPr="005D5065" w:rsidRDefault="0042613D" w:rsidP="0042613D">
            <w:pPr>
              <w:rPr>
                <w:b/>
                <w:bCs/>
              </w:rPr>
            </w:pPr>
            <w:r w:rsidRPr="005D5065">
              <w:rPr>
                <w:b/>
                <w:bCs/>
              </w:rPr>
              <w:t>Added</w:t>
            </w:r>
          </w:p>
          <w:p w14:paraId="4D792E48" w14:textId="60453D63" w:rsidR="0042613D" w:rsidRDefault="0042613D" w:rsidP="0042613D">
            <w:r>
              <w:t>4.6 Medical Personnel</w:t>
            </w:r>
          </w:p>
          <w:p w14:paraId="6C06B072" w14:textId="7DB96C35" w:rsidR="0042613D" w:rsidRDefault="0042613D" w:rsidP="0042613D">
            <w:r>
              <w:t xml:space="preserve">Athletic trainers and medical personnel providing athletic training services in the NWAC must take every precaution to prevent the spread of COVID-19 amongst individuals and teams. Guidance to infection control policies as outlined in BOC Facilities Principles should be followed as closely as possible. </w:t>
            </w:r>
          </w:p>
          <w:p w14:paraId="52DFBCDD" w14:textId="57AC07F0" w:rsidR="0042613D" w:rsidRDefault="0042613D" w:rsidP="0042613D">
            <w:r>
              <w:t>In the event that an athletic trainer or medical provider at an institution becomes symptomatic or is COVID-19 positive, appropriate contact tracing is necessary to prevent spread amongst teams. All institutions must maintain logs of individuals utilizing the athletic training facility to enable contact tracing.</w:t>
            </w:r>
          </w:p>
        </w:tc>
      </w:tr>
      <w:tr w:rsidR="0042613D" w14:paraId="65A9010B" w14:textId="77777777" w:rsidTr="005D5065">
        <w:tc>
          <w:tcPr>
            <w:tcW w:w="890" w:type="dxa"/>
          </w:tcPr>
          <w:p w14:paraId="37B4A926" w14:textId="13B01D22" w:rsidR="0042613D" w:rsidRDefault="0042613D" w:rsidP="0042613D">
            <w:r>
              <w:t>7.4</w:t>
            </w:r>
          </w:p>
        </w:tc>
        <w:tc>
          <w:tcPr>
            <w:tcW w:w="8460" w:type="dxa"/>
          </w:tcPr>
          <w:p w14:paraId="665A5127" w14:textId="77777777" w:rsidR="0042613D" w:rsidRPr="005D5065" w:rsidRDefault="0042613D" w:rsidP="0042613D">
            <w:pPr>
              <w:rPr>
                <w:b/>
                <w:bCs/>
              </w:rPr>
            </w:pPr>
            <w:r w:rsidRPr="005D5065">
              <w:rPr>
                <w:b/>
                <w:bCs/>
              </w:rPr>
              <w:t>Added</w:t>
            </w:r>
          </w:p>
          <w:p w14:paraId="28C9ED80" w14:textId="1B5E884C" w:rsidR="0042613D" w:rsidRPr="005D5065" w:rsidRDefault="0042613D" w:rsidP="0042613D">
            <w:pPr>
              <w:rPr>
                <w:b/>
                <w:bCs/>
              </w:rPr>
            </w:pPr>
            <w:r>
              <w:t xml:space="preserve">5. </w:t>
            </w:r>
            <w:r w:rsidRPr="008F2E27">
              <w:t xml:space="preserve">Teams cannot travel if there has been a </w:t>
            </w:r>
            <w:r w:rsidRPr="008F2E27">
              <w:rPr>
                <w:u w:val="single"/>
              </w:rPr>
              <w:t>positive case with exposure</w:t>
            </w:r>
            <w:r w:rsidRPr="008F2E27">
              <w:t xml:space="preserve"> to the team and/or </w:t>
            </w:r>
            <w:r>
              <w:t>team</w:t>
            </w:r>
            <w:r w:rsidRPr="008F2E27">
              <w:t xml:space="preserve"> staff within the past 10 days</w:t>
            </w:r>
            <w:r>
              <w:t>.</w:t>
            </w:r>
          </w:p>
        </w:tc>
      </w:tr>
      <w:tr w:rsidR="0042613D" w14:paraId="02BCC962" w14:textId="77777777" w:rsidTr="005D5065">
        <w:tc>
          <w:tcPr>
            <w:tcW w:w="890" w:type="dxa"/>
          </w:tcPr>
          <w:p w14:paraId="27EBA2B2" w14:textId="1F867591" w:rsidR="0042613D" w:rsidRDefault="0042613D" w:rsidP="0042613D">
            <w:r>
              <w:t>8.1</w:t>
            </w:r>
          </w:p>
        </w:tc>
        <w:tc>
          <w:tcPr>
            <w:tcW w:w="8460" w:type="dxa"/>
          </w:tcPr>
          <w:p w14:paraId="045901AA" w14:textId="77777777" w:rsidR="0042613D" w:rsidRPr="005D5065" w:rsidRDefault="0042613D" w:rsidP="0042613D">
            <w:pPr>
              <w:rPr>
                <w:b/>
                <w:bCs/>
              </w:rPr>
            </w:pPr>
            <w:r w:rsidRPr="005D5065">
              <w:rPr>
                <w:b/>
                <w:bCs/>
              </w:rPr>
              <w:t>Added</w:t>
            </w:r>
          </w:p>
          <w:p w14:paraId="65A193E6" w14:textId="77777777" w:rsidR="0042613D" w:rsidRDefault="0042613D" w:rsidP="0042613D">
            <w:pPr>
              <w:pStyle w:val="Heading5"/>
              <w:outlineLvl w:val="4"/>
            </w:pPr>
            <w:r>
              <w:t>8.1.2 Athletic Training Coverage</w:t>
            </w:r>
          </w:p>
          <w:p w14:paraId="02B3C0CA" w14:textId="77777777" w:rsidR="0042613D" w:rsidRPr="008F2E27" w:rsidRDefault="0042613D" w:rsidP="0042613D">
            <w:pPr>
              <w:rPr>
                <w:sz w:val="20"/>
              </w:rPr>
            </w:pPr>
            <w:r w:rsidRPr="005D5065">
              <w:rPr>
                <w:sz w:val="20"/>
              </w:rPr>
              <w:t>In the event that the host institution’s athletic trainer is unable to be present due to COVID19; and the institution is unable to find appropriate medical coverage for an event, as required in section 17.2 of the NWAC Codebook, the game should be rescheduled.</w:t>
            </w:r>
            <w:r>
              <w:rPr>
                <w:sz w:val="20"/>
              </w:rPr>
              <w:t xml:space="preserve"> Notification should occur as quickly as possible. </w:t>
            </w:r>
          </w:p>
          <w:p w14:paraId="15CD5EDC" w14:textId="77777777" w:rsidR="0042613D" w:rsidRPr="005D5065" w:rsidRDefault="0042613D" w:rsidP="0042613D">
            <w:pPr>
              <w:rPr>
                <w:b/>
                <w:bCs/>
              </w:rPr>
            </w:pPr>
          </w:p>
        </w:tc>
      </w:tr>
    </w:tbl>
    <w:p w14:paraId="01947225" w14:textId="46C0D84C" w:rsidR="001B1F47" w:rsidRDefault="001B1F47" w:rsidP="001B1F47">
      <w:r>
        <w:t xml:space="preserve"> </w:t>
      </w:r>
    </w:p>
    <w:sectPr w:rsidR="001B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119"/>
    <w:multiLevelType w:val="hybridMultilevel"/>
    <w:tmpl w:val="8C02BBD6"/>
    <w:lvl w:ilvl="0" w:tplc="943EB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BB5"/>
    <w:multiLevelType w:val="hybridMultilevel"/>
    <w:tmpl w:val="97AE91DA"/>
    <w:lvl w:ilvl="0" w:tplc="434C4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3999"/>
    <w:multiLevelType w:val="hybridMultilevel"/>
    <w:tmpl w:val="44A03562"/>
    <w:lvl w:ilvl="0" w:tplc="9CA02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730A4"/>
    <w:multiLevelType w:val="hybridMultilevel"/>
    <w:tmpl w:val="77B84092"/>
    <w:lvl w:ilvl="0" w:tplc="57F85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C03F0"/>
    <w:multiLevelType w:val="hybridMultilevel"/>
    <w:tmpl w:val="FD5C4C8C"/>
    <w:lvl w:ilvl="0" w:tplc="CFC202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jc0NDOxMDAyN7FU0lEKTi0uzszPAykwrgUAgqq4EywAAAA="/>
  </w:docVars>
  <w:rsids>
    <w:rsidRoot w:val="00AC1EDE"/>
    <w:rsid w:val="00187414"/>
    <w:rsid w:val="001B1F47"/>
    <w:rsid w:val="0042613D"/>
    <w:rsid w:val="00473B34"/>
    <w:rsid w:val="00556011"/>
    <w:rsid w:val="00556E2C"/>
    <w:rsid w:val="005D5065"/>
    <w:rsid w:val="00AC1EDE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7288"/>
  <w15:chartTrackingRefBased/>
  <w15:docId w15:val="{8425C3CE-DD7D-419B-82D4-DEA49E0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0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47"/>
    <w:pPr>
      <w:ind w:left="720"/>
      <w:contextualSpacing/>
    </w:pPr>
  </w:style>
  <w:style w:type="table" w:styleId="TableGrid">
    <w:name w:val="Table Grid"/>
    <w:basedOn w:val="TableNormal"/>
    <w:uiPriority w:val="39"/>
    <w:rsid w:val="001B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D5065"/>
    <w:rPr>
      <w:rFonts w:asciiTheme="majorHAnsi" w:eastAsiaTheme="majorEastAsia" w:hAnsiTheme="majorHAnsi" w:cstheme="majorBidi"/>
      <w:color w:val="2F5496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Kilfoyle, Aaron</dc:creator>
  <cp:keywords/>
  <dc:description/>
  <cp:lastModifiedBy>Azurdia, Marco</cp:lastModifiedBy>
  <cp:revision>2</cp:revision>
  <dcterms:created xsi:type="dcterms:W3CDTF">2021-02-05T14:38:00Z</dcterms:created>
  <dcterms:modified xsi:type="dcterms:W3CDTF">2021-02-05T14:38:00Z</dcterms:modified>
</cp:coreProperties>
</file>