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3F8" w:rsidRDefault="008175B5" w:rsidP="008175B5">
      <w:pPr>
        <w:jc w:val="center"/>
        <w:rPr>
          <w:sz w:val="36"/>
          <w:szCs w:val="36"/>
        </w:rPr>
      </w:pPr>
      <w:r w:rsidRPr="008175B5">
        <w:rPr>
          <w:sz w:val="36"/>
          <w:szCs w:val="36"/>
        </w:rPr>
        <w:t>Title IX talking Points</w:t>
      </w:r>
    </w:p>
    <w:p w:rsidR="008175B5" w:rsidRDefault="008175B5" w:rsidP="008175B5">
      <w:pPr>
        <w:rPr>
          <w:sz w:val="24"/>
          <w:szCs w:val="24"/>
        </w:rPr>
      </w:pPr>
      <w:r>
        <w:rPr>
          <w:sz w:val="24"/>
          <w:szCs w:val="24"/>
        </w:rPr>
        <w:t>New Compliance Documents:</w:t>
      </w:r>
    </w:p>
    <w:p w:rsidR="008175B5" w:rsidRDefault="008175B5" w:rsidP="008175B5">
      <w:pPr>
        <w:pStyle w:val="ListParagraph"/>
        <w:numPr>
          <w:ilvl w:val="0"/>
          <w:numId w:val="1"/>
        </w:numPr>
        <w:rPr>
          <w:sz w:val="24"/>
          <w:szCs w:val="24"/>
        </w:rPr>
      </w:pPr>
      <w:r>
        <w:rPr>
          <w:sz w:val="24"/>
          <w:szCs w:val="24"/>
        </w:rPr>
        <w:t>Title IX Supplemental procedures to the Student Code of Conduct</w:t>
      </w:r>
    </w:p>
    <w:p w:rsidR="008175B5" w:rsidRDefault="008175B5" w:rsidP="008175B5">
      <w:pPr>
        <w:pStyle w:val="ListParagraph"/>
        <w:numPr>
          <w:ilvl w:val="0"/>
          <w:numId w:val="1"/>
        </w:numPr>
        <w:rPr>
          <w:sz w:val="24"/>
          <w:szCs w:val="24"/>
        </w:rPr>
      </w:pPr>
      <w:r>
        <w:rPr>
          <w:sz w:val="24"/>
          <w:szCs w:val="24"/>
        </w:rPr>
        <w:t>Title IX Supplemental procedures for cases involving employees</w:t>
      </w:r>
    </w:p>
    <w:p w:rsidR="008175B5" w:rsidRDefault="008175B5" w:rsidP="008175B5">
      <w:pPr>
        <w:pStyle w:val="ListParagraph"/>
        <w:numPr>
          <w:ilvl w:val="0"/>
          <w:numId w:val="1"/>
        </w:numPr>
        <w:rPr>
          <w:sz w:val="24"/>
          <w:szCs w:val="24"/>
        </w:rPr>
      </w:pPr>
      <w:r>
        <w:rPr>
          <w:sz w:val="24"/>
          <w:szCs w:val="24"/>
        </w:rPr>
        <w:t>Updates to Complaint and Discrimination policies and procedures</w:t>
      </w:r>
    </w:p>
    <w:p w:rsidR="008175B5" w:rsidRDefault="008175B5" w:rsidP="008175B5">
      <w:pPr>
        <w:rPr>
          <w:sz w:val="24"/>
          <w:szCs w:val="24"/>
        </w:rPr>
      </w:pPr>
      <w:r>
        <w:rPr>
          <w:sz w:val="24"/>
          <w:szCs w:val="24"/>
        </w:rPr>
        <w:t>Significant Changes:</w:t>
      </w:r>
    </w:p>
    <w:p w:rsidR="008175B5" w:rsidRDefault="008175B5" w:rsidP="008175B5">
      <w:pPr>
        <w:pStyle w:val="ListParagraph"/>
        <w:numPr>
          <w:ilvl w:val="0"/>
          <w:numId w:val="2"/>
        </w:numPr>
        <w:rPr>
          <w:sz w:val="24"/>
          <w:szCs w:val="24"/>
        </w:rPr>
      </w:pPr>
      <w:r>
        <w:rPr>
          <w:sz w:val="24"/>
          <w:szCs w:val="24"/>
        </w:rPr>
        <w:t>Jurisdiction:</w:t>
      </w:r>
      <w:r w:rsidR="00F71C5D">
        <w:rPr>
          <w:sz w:val="24"/>
          <w:szCs w:val="24"/>
        </w:rPr>
        <w:t xml:space="preserve"> due to narrowing of jurisdiction, change will likely lead to fewer Title IX cases. </w:t>
      </w:r>
    </w:p>
    <w:p w:rsidR="008175B5" w:rsidRDefault="008175B5" w:rsidP="008175B5">
      <w:pPr>
        <w:pStyle w:val="ListParagraph"/>
        <w:numPr>
          <w:ilvl w:val="1"/>
          <w:numId w:val="2"/>
        </w:numPr>
        <w:rPr>
          <w:sz w:val="24"/>
          <w:szCs w:val="24"/>
        </w:rPr>
      </w:pPr>
      <w:r>
        <w:rPr>
          <w:sz w:val="24"/>
          <w:szCs w:val="24"/>
        </w:rPr>
        <w:t xml:space="preserve">Formerly: any reported case impacting a </w:t>
      </w:r>
      <w:r w:rsidR="00F71C5D">
        <w:rPr>
          <w:sz w:val="24"/>
          <w:szCs w:val="24"/>
        </w:rPr>
        <w:t>person’s</w:t>
      </w:r>
      <w:r>
        <w:rPr>
          <w:sz w:val="24"/>
          <w:szCs w:val="24"/>
        </w:rPr>
        <w:t xml:space="preserve"> ability to pursue </w:t>
      </w:r>
      <w:r w:rsidR="00F71C5D">
        <w:rPr>
          <w:sz w:val="24"/>
          <w:szCs w:val="24"/>
        </w:rPr>
        <w:t xml:space="preserve">education regardless of where the incident happened, or who was involved in the incident. </w:t>
      </w:r>
    </w:p>
    <w:p w:rsidR="00F71C5D" w:rsidRDefault="00F71C5D" w:rsidP="008175B5">
      <w:pPr>
        <w:pStyle w:val="ListParagraph"/>
        <w:numPr>
          <w:ilvl w:val="1"/>
          <w:numId w:val="2"/>
        </w:numPr>
        <w:rPr>
          <w:sz w:val="24"/>
          <w:szCs w:val="24"/>
        </w:rPr>
      </w:pPr>
      <w:r>
        <w:rPr>
          <w:sz w:val="24"/>
          <w:szCs w:val="24"/>
        </w:rPr>
        <w:t xml:space="preserve">New/current: </w:t>
      </w:r>
    </w:p>
    <w:p w:rsidR="00F71C5D" w:rsidRPr="00F71C5D" w:rsidRDefault="00F71C5D" w:rsidP="00F71C5D">
      <w:pPr>
        <w:pStyle w:val="ListParagraph"/>
        <w:numPr>
          <w:ilvl w:val="2"/>
          <w:numId w:val="2"/>
        </w:numPr>
        <w:rPr>
          <w:sz w:val="24"/>
          <w:szCs w:val="24"/>
        </w:rPr>
      </w:pPr>
      <w:r>
        <w:rPr>
          <w:sz w:val="24"/>
          <w:szCs w:val="24"/>
        </w:rPr>
        <w:t xml:space="preserve">Must be a formal complaint filed by the complainant to the Title IX Coordinator or an affidavit signed by the Title IX Coordinator; </w:t>
      </w:r>
      <w:r>
        <w:rPr>
          <w:b/>
          <w:sz w:val="24"/>
          <w:szCs w:val="24"/>
        </w:rPr>
        <w:t>and</w:t>
      </w:r>
    </w:p>
    <w:p w:rsidR="00F71C5D" w:rsidRPr="00F71C5D" w:rsidRDefault="00F71C5D" w:rsidP="00F71C5D">
      <w:pPr>
        <w:pStyle w:val="ListParagraph"/>
        <w:numPr>
          <w:ilvl w:val="2"/>
          <w:numId w:val="2"/>
        </w:numPr>
        <w:rPr>
          <w:sz w:val="24"/>
          <w:szCs w:val="24"/>
        </w:rPr>
      </w:pPr>
      <w:r>
        <w:rPr>
          <w:sz w:val="24"/>
          <w:szCs w:val="24"/>
        </w:rPr>
        <w:t xml:space="preserve">Complainant must be participating in College educational program or activity at time of complaint; </w:t>
      </w:r>
      <w:r>
        <w:rPr>
          <w:b/>
          <w:sz w:val="24"/>
          <w:szCs w:val="24"/>
        </w:rPr>
        <w:t>and</w:t>
      </w:r>
    </w:p>
    <w:p w:rsidR="00F71C5D" w:rsidRPr="00F71C5D" w:rsidRDefault="00F71C5D" w:rsidP="00F71C5D">
      <w:pPr>
        <w:pStyle w:val="ListParagraph"/>
        <w:numPr>
          <w:ilvl w:val="2"/>
          <w:numId w:val="2"/>
        </w:numPr>
        <w:rPr>
          <w:sz w:val="24"/>
          <w:szCs w:val="24"/>
        </w:rPr>
      </w:pPr>
      <w:r>
        <w:rPr>
          <w:sz w:val="24"/>
          <w:szCs w:val="24"/>
        </w:rPr>
        <w:t xml:space="preserve">Incident must have occurred in the United States; </w:t>
      </w:r>
      <w:r>
        <w:rPr>
          <w:b/>
          <w:sz w:val="24"/>
          <w:szCs w:val="24"/>
        </w:rPr>
        <w:t>and</w:t>
      </w:r>
    </w:p>
    <w:p w:rsidR="00F71C5D" w:rsidRPr="00F71C5D" w:rsidRDefault="00F71C5D" w:rsidP="00F71C5D">
      <w:pPr>
        <w:pStyle w:val="ListParagraph"/>
        <w:numPr>
          <w:ilvl w:val="2"/>
          <w:numId w:val="2"/>
        </w:numPr>
        <w:rPr>
          <w:sz w:val="24"/>
          <w:szCs w:val="24"/>
        </w:rPr>
      </w:pPr>
      <w:r>
        <w:rPr>
          <w:sz w:val="24"/>
          <w:szCs w:val="24"/>
        </w:rPr>
        <w:t xml:space="preserve">Incident occurred during the institution’s educational program or activity; </w:t>
      </w:r>
      <w:r>
        <w:rPr>
          <w:b/>
          <w:sz w:val="24"/>
          <w:szCs w:val="24"/>
        </w:rPr>
        <w:t>and</w:t>
      </w:r>
    </w:p>
    <w:p w:rsidR="00F71C5D" w:rsidRDefault="00F71C5D" w:rsidP="00F71C5D">
      <w:pPr>
        <w:pStyle w:val="ListParagraph"/>
        <w:numPr>
          <w:ilvl w:val="2"/>
          <w:numId w:val="2"/>
        </w:numPr>
        <w:rPr>
          <w:sz w:val="24"/>
          <w:szCs w:val="24"/>
        </w:rPr>
      </w:pPr>
      <w:r>
        <w:rPr>
          <w:sz w:val="24"/>
          <w:szCs w:val="24"/>
        </w:rPr>
        <w:t>Allegations, if proven, must meet the definition of Title IX sexual harassment.</w:t>
      </w:r>
    </w:p>
    <w:p w:rsidR="00F71C5D" w:rsidRDefault="00F71C5D" w:rsidP="00F71C5D">
      <w:pPr>
        <w:pStyle w:val="ListParagraph"/>
        <w:numPr>
          <w:ilvl w:val="0"/>
          <w:numId w:val="2"/>
        </w:numPr>
        <w:rPr>
          <w:sz w:val="24"/>
          <w:szCs w:val="24"/>
        </w:rPr>
      </w:pPr>
      <w:r>
        <w:rPr>
          <w:sz w:val="24"/>
          <w:szCs w:val="24"/>
        </w:rPr>
        <w:t>Narrowly defined to include only</w:t>
      </w:r>
      <w:r w:rsidR="000775B2">
        <w:rPr>
          <w:sz w:val="24"/>
          <w:szCs w:val="24"/>
        </w:rPr>
        <w:t xml:space="preserve"> (see definition in Title IX supplemental procedures)</w:t>
      </w:r>
      <w:r>
        <w:rPr>
          <w:sz w:val="24"/>
          <w:szCs w:val="24"/>
        </w:rPr>
        <w:t>:</w:t>
      </w:r>
    </w:p>
    <w:p w:rsidR="00F71C5D" w:rsidRDefault="00F71C5D" w:rsidP="00F71C5D">
      <w:pPr>
        <w:pStyle w:val="ListParagraph"/>
        <w:numPr>
          <w:ilvl w:val="1"/>
          <w:numId w:val="2"/>
        </w:numPr>
        <w:rPr>
          <w:sz w:val="24"/>
          <w:szCs w:val="24"/>
        </w:rPr>
      </w:pPr>
      <w:r>
        <w:rPr>
          <w:sz w:val="24"/>
          <w:szCs w:val="24"/>
        </w:rPr>
        <w:t>Quid pro quo harassment</w:t>
      </w:r>
    </w:p>
    <w:p w:rsidR="00F71C5D" w:rsidRDefault="00F71C5D" w:rsidP="00F71C5D">
      <w:pPr>
        <w:pStyle w:val="ListParagraph"/>
        <w:numPr>
          <w:ilvl w:val="1"/>
          <w:numId w:val="2"/>
        </w:numPr>
        <w:rPr>
          <w:sz w:val="24"/>
          <w:szCs w:val="24"/>
        </w:rPr>
      </w:pPr>
      <w:r>
        <w:rPr>
          <w:sz w:val="24"/>
          <w:szCs w:val="24"/>
        </w:rPr>
        <w:t xml:space="preserve">Hostile environment harassment (must be pervasive, persistent, </w:t>
      </w:r>
      <w:r>
        <w:rPr>
          <w:b/>
          <w:sz w:val="24"/>
          <w:szCs w:val="24"/>
          <w:u w:val="single"/>
        </w:rPr>
        <w:t xml:space="preserve">and </w:t>
      </w:r>
      <w:r>
        <w:rPr>
          <w:sz w:val="24"/>
          <w:szCs w:val="24"/>
        </w:rPr>
        <w:t>objectively offensive</w:t>
      </w:r>
      <w:r w:rsidR="000775B2">
        <w:rPr>
          <w:sz w:val="24"/>
          <w:szCs w:val="24"/>
        </w:rPr>
        <w:t>)</w:t>
      </w:r>
    </w:p>
    <w:p w:rsidR="000775B2" w:rsidRDefault="000775B2" w:rsidP="00F71C5D">
      <w:pPr>
        <w:pStyle w:val="ListParagraph"/>
        <w:numPr>
          <w:ilvl w:val="1"/>
          <w:numId w:val="2"/>
        </w:numPr>
        <w:rPr>
          <w:sz w:val="24"/>
          <w:szCs w:val="24"/>
        </w:rPr>
      </w:pPr>
      <w:r>
        <w:rPr>
          <w:sz w:val="24"/>
          <w:szCs w:val="24"/>
        </w:rPr>
        <w:t>Sexual assault</w:t>
      </w:r>
    </w:p>
    <w:p w:rsidR="000775B2" w:rsidRDefault="000775B2" w:rsidP="00F71C5D">
      <w:pPr>
        <w:pStyle w:val="ListParagraph"/>
        <w:numPr>
          <w:ilvl w:val="1"/>
          <w:numId w:val="2"/>
        </w:numPr>
        <w:rPr>
          <w:sz w:val="24"/>
          <w:szCs w:val="24"/>
        </w:rPr>
      </w:pPr>
      <w:r>
        <w:rPr>
          <w:sz w:val="24"/>
          <w:szCs w:val="24"/>
        </w:rPr>
        <w:t>Domestic Violence</w:t>
      </w:r>
    </w:p>
    <w:p w:rsidR="000775B2" w:rsidRDefault="000775B2" w:rsidP="00F71C5D">
      <w:pPr>
        <w:pStyle w:val="ListParagraph"/>
        <w:numPr>
          <w:ilvl w:val="1"/>
          <w:numId w:val="2"/>
        </w:numPr>
        <w:rPr>
          <w:sz w:val="24"/>
          <w:szCs w:val="24"/>
        </w:rPr>
      </w:pPr>
      <w:r>
        <w:rPr>
          <w:sz w:val="24"/>
          <w:szCs w:val="24"/>
        </w:rPr>
        <w:t>Stalking</w:t>
      </w:r>
    </w:p>
    <w:p w:rsidR="000775B2" w:rsidRDefault="000775B2" w:rsidP="000775B2">
      <w:pPr>
        <w:pStyle w:val="ListParagraph"/>
        <w:numPr>
          <w:ilvl w:val="0"/>
          <w:numId w:val="2"/>
        </w:numPr>
        <w:rPr>
          <w:sz w:val="24"/>
          <w:szCs w:val="24"/>
        </w:rPr>
      </w:pPr>
      <w:r>
        <w:rPr>
          <w:sz w:val="24"/>
          <w:szCs w:val="24"/>
        </w:rPr>
        <w:t>New college requirements</w:t>
      </w:r>
      <w:r w:rsidR="00A850F7">
        <w:rPr>
          <w:sz w:val="24"/>
          <w:szCs w:val="24"/>
        </w:rPr>
        <w:t xml:space="preserve"> that require significant annual training</w:t>
      </w:r>
      <w:r>
        <w:rPr>
          <w:sz w:val="24"/>
          <w:szCs w:val="24"/>
        </w:rPr>
        <w:t>:</w:t>
      </w:r>
    </w:p>
    <w:p w:rsidR="000775B2" w:rsidRPr="00A850F7" w:rsidRDefault="000775B2" w:rsidP="00A850F7">
      <w:pPr>
        <w:pStyle w:val="ListParagraph"/>
        <w:numPr>
          <w:ilvl w:val="1"/>
          <w:numId w:val="2"/>
        </w:numPr>
        <w:rPr>
          <w:sz w:val="24"/>
          <w:szCs w:val="24"/>
        </w:rPr>
      </w:pPr>
      <w:r>
        <w:rPr>
          <w:sz w:val="24"/>
          <w:szCs w:val="24"/>
        </w:rPr>
        <w:t xml:space="preserve">Parties entitled to an advisor during the investigation and must be represented by an advisor during the hearing. College must appoint an advisor if the parties do not have one. May be an attorney. </w:t>
      </w:r>
      <w:r w:rsidRPr="00A850F7">
        <w:rPr>
          <w:sz w:val="24"/>
          <w:szCs w:val="24"/>
        </w:rPr>
        <w:t>Significant training requirement</w:t>
      </w:r>
      <w:r w:rsidR="00A850F7">
        <w:rPr>
          <w:sz w:val="24"/>
          <w:szCs w:val="24"/>
        </w:rPr>
        <w:t>.</w:t>
      </w:r>
      <w:r w:rsidRPr="00A850F7">
        <w:rPr>
          <w:sz w:val="24"/>
          <w:szCs w:val="24"/>
        </w:rPr>
        <w:t xml:space="preserve"> </w:t>
      </w:r>
    </w:p>
    <w:p w:rsidR="000775B2" w:rsidRDefault="00D212D7" w:rsidP="000775B2">
      <w:pPr>
        <w:pStyle w:val="ListParagraph"/>
        <w:numPr>
          <w:ilvl w:val="1"/>
          <w:numId w:val="2"/>
        </w:numPr>
        <w:rPr>
          <w:sz w:val="24"/>
          <w:szCs w:val="24"/>
        </w:rPr>
      </w:pPr>
      <w:r>
        <w:rPr>
          <w:sz w:val="24"/>
          <w:szCs w:val="24"/>
        </w:rPr>
        <w:t xml:space="preserve">Hearings must happen and follow new DOE requirements and Washington Administrative Procedures Act. </w:t>
      </w:r>
    </w:p>
    <w:p w:rsidR="00D212D7" w:rsidRDefault="00D212D7" w:rsidP="00D212D7">
      <w:pPr>
        <w:pStyle w:val="ListParagraph"/>
        <w:numPr>
          <w:ilvl w:val="2"/>
          <w:numId w:val="2"/>
        </w:numPr>
        <w:rPr>
          <w:sz w:val="24"/>
          <w:szCs w:val="24"/>
        </w:rPr>
      </w:pPr>
      <w:r>
        <w:rPr>
          <w:sz w:val="24"/>
          <w:szCs w:val="24"/>
        </w:rPr>
        <w:t>must determine if evidence is relevant</w:t>
      </w:r>
    </w:p>
    <w:p w:rsidR="00A850F7" w:rsidRDefault="00A850F7" w:rsidP="00D212D7">
      <w:pPr>
        <w:pStyle w:val="ListParagraph"/>
        <w:numPr>
          <w:ilvl w:val="2"/>
          <w:numId w:val="2"/>
        </w:numPr>
        <w:rPr>
          <w:sz w:val="24"/>
          <w:szCs w:val="24"/>
        </w:rPr>
      </w:pPr>
      <w:r>
        <w:rPr>
          <w:sz w:val="24"/>
          <w:szCs w:val="24"/>
        </w:rPr>
        <w:t>must understand how to hear objections</w:t>
      </w:r>
    </w:p>
    <w:p w:rsidR="000775B2" w:rsidRDefault="00A850F7" w:rsidP="000775B2">
      <w:pPr>
        <w:pStyle w:val="ListParagraph"/>
        <w:numPr>
          <w:ilvl w:val="2"/>
          <w:numId w:val="2"/>
        </w:numPr>
        <w:rPr>
          <w:sz w:val="24"/>
          <w:szCs w:val="24"/>
        </w:rPr>
      </w:pPr>
      <w:r>
        <w:rPr>
          <w:sz w:val="24"/>
          <w:szCs w:val="24"/>
        </w:rPr>
        <w:t>must understand the nuances with running a hearing, much like a court case</w:t>
      </w:r>
    </w:p>
    <w:p w:rsidR="00A850F7" w:rsidRDefault="00A850F7" w:rsidP="00A850F7">
      <w:pPr>
        <w:pStyle w:val="ListParagraph"/>
        <w:numPr>
          <w:ilvl w:val="0"/>
          <w:numId w:val="2"/>
        </w:numPr>
        <w:rPr>
          <w:sz w:val="24"/>
          <w:szCs w:val="24"/>
        </w:rPr>
      </w:pPr>
      <w:r>
        <w:rPr>
          <w:sz w:val="24"/>
          <w:szCs w:val="24"/>
        </w:rPr>
        <w:t>Investigators understanding of the process:</w:t>
      </w:r>
    </w:p>
    <w:p w:rsidR="00A850F7" w:rsidRDefault="00A850F7" w:rsidP="00A850F7">
      <w:pPr>
        <w:pStyle w:val="ListParagraph"/>
        <w:numPr>
          <w:ilvl w:val="1"/>
          <w:numId w:val="2"/>
        </w:numPr>
        <w:rPr>
          <w:sz w:val="24"/>
          <w:szCs w:val="24"/>
        </w:rPr>
      </w:pPr>
      <w:r>
        <w:rPr>
          <w:sz w:val="24"/>
          <w:szCs w:val="24"/>
        </w:rPr>
        <w:lastRenderedPageBreak/>
        <w:t>New definition</w:t>
      </w:r>
    </w:p>
    <w:p w:rsidR="00A850F7" w:rsidRDefault="00A850F7" w:rsidP="00A850F7">
      <w:pPr>
        <w:pStyle w:val="ListParagraph"/>
        <w:numPr>
          <w:ilvl w:val="1"/>
          <w:numId w:val="2"/>
        </w:numPr>
        <w:rPr>
          <w:sz w:val="24"/>
          <w:szCs w:val="24"/>
        </w:rPr>
      </w:pPr>
      <w:r>
        <w:rPr>
          <w:sz w:val="24"/>
          <w:szCs w:val="24"/>
        </w:rPr>
        <w:t>New role</w:t>
      </w:r>
    </w:p>
    <w:p w:rsidR="00A850F7" w:rsidRDefault="00A850F7" w:rsidP="00A850F7">
      <w:pPr>
        <w:pStyle w:val="ListParagraph"/>
        <w:numPr>
          <w:ilvl w:val="1"/>
          <w:numId w:val="2"/>
        </w:numPr>
        <w:rPr>
          <w:sz w:val="24"/>
          <w:szCs w:val="24"/>
        </w:rPr>
      </w:pPr>
      <w:r>
        <w:rPr>
          <w:sz w:val="24"/>
          <w:szCs w:val="24"/>
        </w:rPr>
        <w:t>Significant additional work</w:t>
      </w:r>
    </w:p>
    <w:p w:rsidR="00A850F7" w:rsidRDefault="00A850F7" w:rsidP="00A850F7">
      <w:pPr>
        <w:pStyle w:val="ListParagraph"/>
        <w:numPr>
          <w:ilvl w:val="0"/>
          <w:numId w:val="2"/>
        </w:numPr>
        <w:rPr>
          <w:sz w:val="24"/>
          <w:szCs w:val="24"/>
        </w:rPr>
      </w:pPr>
      <w:r>
        <w:rPr>
          <w:sz w:val="24"/>
          <w:szCs w:val="24"/>
        </w:rPr>
        <w:t xml:space="preserve">Conduct process for cases not </w:t>
      </w:r>
      <w:r w:rsidR="004D6FE0">
        <w:rPr>
          <w:sz w:val="24"/>
          <w:szCs w:val="24"/>
        </w:rPr>
        <w:t>raising to Title IX threshold</w:t>
      </w:r>
    </w:p>
    <w:p w:rsidR="004D6FE0" w:rsidRDefault="004D6FE0" w:rsidP="004D6FE0">
      <w:pPr>
        <w:rPr>
          <w:sz w:val="24"/>
          <w:szCs w:val="24"/>
        </w:rPr>
      </w:pPr>
      <w:r>
        <w:rPr>
          <w:sz w:val="24"/>
          <w:szCs w:val="24"/>
        </w:rPr>
        <w:t>Expenses to the each college:</w:t>
      </w:r>
    </w:p>
    <w:p w:rsidR="004D6FE0" w:rsidRDefault="004D6FE0" w:rsidP="004D6FE0">
      <w:pPr>
        <w:pStyle w:val="ListParagraph"/>
        <w:numPr>
          <w:ilvl w:val="0"/>
          <w:numId w:val="3"/>
        </w:numPr>
        <w:rPr>
          <w:sz w:val="24"/>
          <w:szCs w:val="24"/>
        </w:rPr>
      </w:pPr>
      <w:r>
        <w:rPr>
          <w:sz w:val="24"/>
          <w:szCs w:val="24"/>
        </w:rPr>
        <w:t>Hearing Officer training or contract with outside party to conduct hearings</w:t>
      </w:r>
    </w:p>
    <w:p w:rsidR="004D6FE0" w:rsidRDefault="004D6FE0" w:rsidP="004D6FE0">
      <w:pPr>
        <w:pStyle w:val="ListParagraph"/>
        <w:numPr>
          <w:ilvl w:val="0"/>
          <w:numId w:val="3"/>
        </w:numPr>
        <w:rPr>
          <w:sz w:val="24"/>
          <w:szCs w:val="24"/>
        </w:rPr>
      </w:pPr>
      <w:r>
        <w:rPr>
          <w:sz w:val="24"/>
          <w:szCs w:val="24"/>
        </w:rPr>
        <w:t xml:space="preserve">Advisor training or contract with outside party to serve as advisors, potentially </w:t>
      </w:r>
      <w:proofErr w:type="spellStart"/>
      <w:r>
        <w:rPr>
          <w:sz w:val="24"/>
          <w:szCs w:val="24"/>
        </w:rPr>
        <w:t>laywers</w:t>
      </w:r>
      <w:proofErr w:type="spellEnd"/>
    </w:p>
    <w:p w:rsidR="004D6FE0" w:rsidRDefault="004D6FE0" w:rsidP="004D6FE0">
      <w:pPr>
        <w:pStyle w:val="ListParagraph"/>
        <w:numPr>
          <w:ilvl w:val="0"/>
          <w:numId w:val="3"/>
        </w:numPr>
        <w:rPr>
          <w:sz w:val="24"/>
          <w:szCs w:val="24"/>
        </w:rPr>
      </w:pPr>
      <w:r>
        <w:rPr>
          <w:sz w:val="24"/>
          <w:szCs w:val="24"/>
        </w:rPr>
        <w:t>Investigator training or contract with outside party to serve as investigators</w:t>
      </w:r>
    </w:p>
    <w:p w:rsidR="004D6FE0" w:rsidRPr="004D6FE0" w:rsidRDefault="004D6FE0" w:rsidP="004D6FE0">
      <w:pPr>
        <w:pStyle w:val="ListParagraph"/>
        <w:numPr>
          <w:ilvl w:val="0"/>
          <w:numId w:val="3"/>
        </w:numPr>
        <w:rPr>
          <w:sz w:val="24"/>
          <w:szCs w:val="24"/>
        </w:rPr>
      </w:pPr>
      <w:r>
        <w:rPr>
          <w:sz w:val="24"/>
          <w:szCs w:val="24"/>
        </w:rPr>
        <w:t>Training for all other Title IX positions (employee and student decision makers)</w:t>
      </w:r>
      <w:bookmarkStart w:id="0" w:name="_GoBack"/>
      <w:bookmarkEnd w:id="0"/>
    </w:p>
    <w:sectPr w:rsidR="004D6FE0" w:rsidRPr="004D6F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6B2" w:rsidRDefault="003E06B2" w:rsidP="008175B5">
      <w:pPr>
        <w:spacing w:after="0" w:line="240" w:lineRule="auto"/>
      </w:pPr>
      <w:r>
        <w:separator/>
      </w:r>
    </w:p>
  </w:endnote>
  <w:endnote w:type="continuationSeparator" w:id="0">
    <w:p w:rsidR="003E06B2" w:rsidRDefault="003E06B2" w:rsidP="00817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6B2" w:rsidRDefault="003E06B2" w:rsidP="008175B5">
      <w:pPr>
        <w:spacing w:after="0" w:line="240" w:lineRule="auto"/>
      </w:pPr>
      <w:r>
        <w:separator/>
      </w:r>
    </w:p>
  </w:footnote>
  <w:footnote w:type="continuationSeparator" w:id="0">
    <w:p w:rsidR="003E06B2" w:rsidRDefault="003E06B2" w:rsidP="00817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5B5" w:rsidRDefault="008175B5" w:rsidP="008175B5">
    <w:r>
      <w:t>Draft 9.8.2020</w:t>
    </w:r>
  </w:p>
  <w:p w:rsidR="008175B5" w:rsidRDefault="00817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F72EA"/>
    <w:multiLevelType w:val="hybridMultilevel"/>
    <w:tmpl w:val="8D2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646505"/>
    <w:multiLevelType w:val="hybridMultilevel"/>
    <w:tmpl w:val="73CA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E723BD"/>
    <w:multiLevelType w:val="hybridMultilevel"/>
    <w:tmpl w:val="94EE0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B5"/>
    <w:rsid w:val="000775B2"/>
    <w:rsid w:val="003E06B2"/>
    <w:rsid w:val="003F1E9E"/>
    <w:rsid w:val="004D6FE0"/>
    <w:rsid w:val="00554C33"/>
    <w:rsid w:val="008175B5"/>
    <w:rsid w:val="00A850F7"/>
    <w:rsid w:val="00D212D7"/>
    <w:rsid w:val="00F71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602B"/>
  <w15:chartTrackingRefBased/>
  <w15:docId w15:val="{D6BB8617-09FF-41ED-A89B-2B7C1877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5B5"/>
  </w:style>
  <w:style w:type="paragraph" w:styleId="Footer">
    <w:name w:val="footer"/>
    <w:basedOn w:val="Normal"/>
    <w:link w:val="FooterChar"/>
    <w:uiPriority w:val="99"/>
    <w:unhideWhenUsed/>
    <w:rsid w:val="00817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5B5"/>
  </w:style>
  <w:style w:type="paragraph" w:styleId="ListParagraph">
    <w:name w:val="List Paragraph"/>
    <w:basedOn w:val="Normal"/>
    <w:uiPriority w:val="34"/>
    <w:qFormat/>
    <w:rsid w:val="00817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Centralia College</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Cox</dc:creator>
  <cp:keywords/>
  <dc:description/>
  <cp:lastModifiedBy>Robert Cox</cp:lastModifiedBy>
  <cp:revision>1</cp:revision>
  <dcterms:created xsi:type="dcterms:W3CDTF">2020-09-08T17:02:00Z</dcterms:created>
  <dcterms:modified xsi:type="dcterms:W3CDTF">2020-09-08T23:42:00Z</dcterms:modified>
</cp:coreProperties>
</file>