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83" w:rsidRPr="00081B92" w:rsidRDefault="009F2B83" w:rsidP="009F2B83">
      <w:pPr>
        <w:pStyle w:val="Heading1"/>
        <w:spacing w:before="60" w:after="240" w:line="240" w:lineRule="auto"/>
        <w:jc w:val="center"/>
        <w:rPr>
          <w:noProof/>
          <w:sz w:val="36"/>
          <w:szCs w:val="36"/>
        </w:rPr>
      </w:pPr>
      <w:r w:rsidRPr="00B375A6">
        <w:rPr>
          <w:noProof/>
          <w:sz w:val="36"/>
          <w:szCs w:val="36"/>
        </w:rPr>
        <w:t xml:space="preserve">State of Washington </w:t>
      </w:r>
      <w:r w:rsidRPr="00B375A6">
        <w:rPr>
          <w:noProof/>
          <w:sz w:val="36"/>
          <w:szCs w:val="36"/>
        </w:rPr>
        <w:br/>
        <w:t xml:space="preserve">State Board for Community and </w:t>
      </w:r>
      <w:r>
        <w:rPr>
          <w:noProof/>
          <w:sz w:val="36"/>
          <w:szCs w:val="36"/>
        </w:rPr>
        <w:t>Technical Colleges</w:t>
      </w:r>
      <w:r>
        <w:rPr>
          <w:noProof/>
          <w:sz w:val="36"/>
          <w:szCs w:val="36"/>
        </w:rPr>
        <w:br/>
        <w:t xml:space="preserve">Resolution </w:t>
      </w:r>
      <w:r w:rsidR="00FC3455">
        <w:rPr>
          <w:noProof/>
          <w:sz w:val="36"/>
          <w:szCs w:val="36"/>
        </w:rPr>
        <w:t>20</w:t>
      </w:r>
      <w:r w:rsidR="00A37CBF" w:rsidRPr="00A37CBF">
        <w:rPr>
          <w:noProof/>
          <w:sz w:val="36"/>
          <w:szCs w:val="36"/>
        </w:rPr>
        <w:t>-0</w:t>
      </w:r>
      <w:r w:rsidR="00A9328A">
        <w:rPr>
          <w:noProof/>
          <w:sz w:val="36"/>
          <w:szCs w:val="36"/>
        </w:rPr>
        <w:t>5-24</w:t>
      </w:r>
    </w:p>
    <w:p w:rsidR="005A7841" w:rsidRDefault="005A7841" w:rsidP="005A7841">
      <w:r w:rsidRPr="00DA69E0">
        <w:t xml:space="preserve">A resolution relating to </w:t>
      </w:r>
      <w:r w:rsidR="00B3306A">
        <w:t>20</w:t>
      </w:r>
      <w:r w:rsidR="00FC3455">
        <w:t>20-21</w:t>
      </w:r>
      <w:r w:rsidRPr="00DA69E0">
        <w:t xml:space="preserve"> Tuition and Fees.</w:t>
      </w:r>
    </w:p>
    <w:p w:rsidR="005A7841" w:rsidRPr="00DA69E0" w:rsidRDefault="005A7841" w:rsidP="005A7841"/>
    <w:p w:rsidR="005A7841" w:rsidRDefault="005A7841" w:rsidP="005A7841">
      <w:r w:rsidRPr="00DA69E0">
        <w:rPr>
          <w:b/>
          <w:bCs/>
        </w:rPr>
        <w:t>WHEREAS,</w:t>
      </w:r>
      <w:r w:rsidRPr="00DA69E0">
        <w:t xml:space="preserve"> RCW 28B.15.067 grants the State Board authority to set tuition and fees for non-resident students to the State Board for Community and Technical Colleges; and</w:t>
      </w:r>
    </w:p>
    <w:p w:rsidR="005A7841" w:rsidRDefault="005A7841" w:rsidP="005A7841">
      <w:pPr>
        <w:ind w:firstLine="720"/>
      </w:pPr>
    </w:p>
    <w:p w:rsidR="00B3306A" w:rsidRDefault="005A7841" w:rsidP="005A7841">
      <w:r w:rsidRPr="00DA69E0">
        <w:rPr>
          <w:b/>
          <w:bCs/>
        </w:rPr>
        <w:t>WHEREAS,</w:t>
      </w:r>
      <w:r w:rsidRPr="00DA69E0">
        <w:t xml:space="preserve"> </w:t>
      </w:r>
      <w:r w:rsidR="00FC3455">
        <w:t>in 2020</w:t>
      </w:r>
      <w:r w:rsidR="00B3306A">
        <w:t>, the Legislature authorized resident undergrad</w:t>
      </w:r>
      <w:r w:rsidR="00FC3455">
        <w:t>uate tuition increases in 2020-21</w:t>
      </w:r>
      <w:r w:rsidR="00B3306A">
        <w:t xml:space="preserve"> </w:t>
      </w:r>
      <w:r w:rsidR="00FC3455">
        <w:t>up to 2.5</w:t>
      </w:r>
      <w:r w:rsidR="00094492">
        <w:t xml:space="preserve"> percent </w:t>
      </w:r>
      <w:r w:rsidR="00B3306A">
        <w:t xml:space="preserve">consistent with the </w:t>
      </w:r>
      <w:r w:rsidR="00B3306A" w:rsidRPr="00B3306A">
        <w:rPr>
          <w:i/>
        </w:rPr>
        <w:t>College Affordability Program</w:t>
      </w:r>
      <w:r w:rsidR="00B3306A">
        <w:rPr>
          <w:i/>
        </w:rPr>
        <w:t>,</w:t>
      </w:r>
      <w:r w:rsidR="00B3306A">
        <w:t xml:space="preserve"> passed in 2015. </w:t>
      </w:r>
    </w:p>
    <w:p w:rsidR="000B00FE" w:rsidRDefault="000B00FE" w:rsidP="000B00FE">
      <w:pPr>
        <w:rPr>
          <w:b/>
          <w:bCs/>
        </w:rPr>
      </w:pPr>
    </w:p>
    <w:p w:rsidR="000B00FE" w:rsidRDefault="000B00FE" w:rsidP="000B00FE">
      <w:r w:rsidRPr="00DA69E0">
        <w:rPr>
          <w:b/>
          <w:bCs/>
        </w:rPr>
        <w:t>WHEREAS,</w:t>
      </w:r>
      <w:r w:rsidRPr="00DA69E0">
        <w:t xml:space="preserve"> </w:t>
      </w:r>
      <w:r>
        <w:t xml:space="preserve">the State Board has the authority to adopt resident tuition up to the amount set by the Legislature through the </w:t>
      </w:r>
      <w:r w:rsidRPr="000B00FE">
        <w:rPr>
          <w:i/>
        </w:rPr>
        <w:t>College Affordability Program</w:t>
      </w:r>
      <w:r>
        <w:t xml:space="preserve">. </w:t>
      </w:r>
    </w:p>
    <w:p w:rsidR="00B3306A" w:rsidRPr="00B3306A" w:rsidRDefault="00B3306A" w:rsidP="005A7841"/>
    <w:p w:rsidR="005A7841" w:rsidRDefault="005A7841" w:rsidP="005A7841">
      <w:r w:rsidRPr="00DA69E0">
        <w:rPr>
          <w:b/>
          <w:bCs/>
        </w:rPr>
        <w:t xml:space="preserve">WHEREAS, </w:t>
      </w:r>
      <w:r w:rsidR="00FC3455">
        <w:t>for the 2019-20</w:t>
      </w:r>
      <w:r>
        <w:t xml:space="preserve"> academic year, the State Board </w:t>
      </w:r>
      <w:r w:rsidR="00094492">
        <w:t xml:space="preserve">increased </w:t>
      </w:r>
      <w:r>
        <w:t>resident, lower- and upper-division (</w:t>
      </w:r>
      <w:r w:rsidRPr="00DA69E0">
        <w:t>applied ba</w:t>
      </w:r>
      <w:r>
        <w:t xml:space="preserve">ccalaureate degree programs) tuition by </w:t>
      </w:r>
      <w:r w:rsidR="00094492">
        <w:t>2.</w:t>
      </w:r>
      <w:r w:rsidR="00FC3455">
        <w:t>4</w:t>
      </w:r>
      <w:r>
        <w:t xml:space="preserve"> percent,</w:t>
      </w:r>
      <w:r w:rsidRPr="00DA69E0">
        <w:t xml:space="preserve"> and</w:t>
      </w:r>
      <w:r>
        <w:t>;</w:t>
      </w:r>
    </w:p>
    <w:p w:rsidR="005A7841" w:rsidRPr="00DA69E0" w:rsidRDefault="005A7841" w:rsidP="005A7841">
      <w:pPr>
        <w:ind w:firstLine="720"/>
      </w:pPr>
    </w:p>
    <w:p w:rsidR="005A7841" w:rsidRDefault="005A7841" w:rsidP="005A7841">
      <w:r w:rsidRPr="00DA69E0">
        <w:rPr>
          <w:b/>
          <w:bCs/>
        </w:rPr>
        <w:t xml:space="preserve">WHEREAS, </w:t>
      </w:r>
      <w:r w:rsidR="00FC3455">
        <w:t>2020-21</w:t>
      </w:r>
      <w:r>
        <w:t xml:space="preserve"> building fee rates for lower- and upper-division tuition are required to </w:t>
      </w:r>
      <w:r w:rsidR="00094492">
        <w:t>be increased by the Seattle CPI inflation factor</w:t>
      </w:r>
      <w:r>
        <w:t>;</w:t>
      </w:r>
    </w:p>
    <w:p w:rsidR="005A7841" w:rsidRPr="00DA69E0" w:rsidRDefault="005A7841" w:rsidP="005A7841"/>
    <w:p w:rsidR="005A7841" w:rsidRPr="00DA69E0" w:rsidRDefault="005A7841" w:rsidP="005A7841">
      <w:r w:rsidRPr="00DA69E0">
        <w:rPr>
          <w:b/>
          <w:bCs/>
        </w:rPr>
        <w:t xml:space="preserve">THEREFORE BE IT RESOLVED </w:t>
      </w:r>
      <w:r w:rsidRPr="00DA69E0">
        <w:t>that the State Board for Community and Technical Colleges:</w:t>
      </w:r>
    </w:p>
    <w:p w:rsidR="005A7841" w:rsidRPr="00DA69E0" w:rsidRDefault="005A7841" w:rsidP="005A7841">
      <w:pPr>
        <w:numPr>
          <w:ilvl w:val="0"/>
          <w:numId w:val="2"/>
        </w:numPr>
        <w:spacing w:after="0" w:line="240" w:lineRule="auto"/>
      </w:pPr>
      <w:r w:rsidRPr="00DA69E0">
        <w:t>Adopts the community college lower division course tuition and fee schedule and rates for 20</w:t>
      </w:r>
      <w:r w:rsidR="00FC3455">
        <w:t>20-21</w:t>
      </w:r>
      <w:r w:rsidRPr="00DA69E0">
        <w:t xml:space="preserve"> as set forth in </w:t>
      </w:r>
      <w:r>
        <w:rPr>
          <w:b/>
        </w:rPr>
        <w:t xml:space="preserve">Attachment </w:t>
      </w:r>
      <w:r w:rsidR="00094492">
        <w:rPr>
          <w:b/>
        </w:rPr>
        <w:t>A</w:t>
      </w:r>
      <w:r w:rsidR="00FC3455">
        <w:rPr>
          <w:b/>
        </w:rPr>
        <w:t xml:space="preserve"> – FY 2020-21</w:t>
      </w:r>
      <w:r>
        <w:rPr>
          <w:b/>
        </w:rPr>
        <w:t xml:space="preserve"> Lower </w:t>
      </w:r>
      <w:r w:rsidR="008A133D">
        <w:rPr>
          <w:b/>
        </w:rPr>
        <w:t>Division</w:t>
      </w:r>
      <w:r>
        <w:rPr>
          <w:b/>
        </w:rPr>
        <w:t xml:space="preserve"> Tuition Schedule</w:t>
      </w:r>
      <w:r w:rsidRPr="00DA69E0">
        <w:t xml:space="preserve">; </w:t>
      </w:r>
    </w:p>
    <w:p w:rsidR="005A7841" w:rsidRPr="00DA69E0" w:rsidRDefault="005A7841" w:rsidP="005A7841">
      <w:pPr>
        <w:numPr>
          <w:ilvl w:val="0"/>
          <w:numId w:val="2"/>
        </w:numPr>
        <w:spacing w:after="0" w:line="240" w:lineRule="auto"/>
      </w:pPr>
      <w:r w:rsidRPr="00DA69E0">
        <w:t>Adopts the community college upper division course tuition and fee schedule and rates for 20</w:t>
      </w:r>
      <w:r w:rsidR="00FC3455">
        <w:t>20-21</w:t>
      </w:r>
      <w:r w:rsidRPr="00DA69E0">
        <w:t xml:space="preserve"> as set forth in </w:t>
      </w:r>
      <w:r w:rsidRPr="00743278">
        <w:rPr>
          <w:b/>
        </w:rPr>
        <w:t xml:space="preserve">Attachment </w:t>
      </w:r>
      <w:r w:rsidR="00094492">
        <w:rPr>
          <w:b/>
        </w:rPr>
        <w:t>A</w:t>
      </w:r>
      <w:r>
        <w:rPr>
          <w:b/>
        </w:rPr>
        <w:t xml:space="preserve"> – FY 20</w:t>
      </w:r>
      <w:r w:rsidR="00FC3455">
        <w:rPr>
          <w:b/>
        </w:rPr>
        <w:t>20-21</w:t>
      </w:r>
      <w:r>
        <w:rPr>
          <w:b/>
        </w:rPr>
        <w:t xml:space="preserve">  Upper Division Tuition Schedule</w:t>
      </w:r>
      <w:r w:rsidRPr="00DA69E0">
        <w:t>;</w:t>
      </w:r>
    </w:p>
    <w:p w:rsidR="005A7841" w:rsidRPr="00DA69E0" w:rsidRDefault="005A7841" w:rsidP="005A7841">
      <w:pPr>
        <w:numPr>
          <w:ilvl w:val="0"/>
          <w:numId w:val="2"/>
        </w:numPr>
        <w:spacing w:after="0" w:line="240" w:lineRule="auto"/>
      </w:pPr>
      <w:r>
        <w:t>Requires the deposit of three percent</w:t>
      </w:r>
      <w:r w:rsidRPr="00DA69E0">
        <w:t xml:space="preserve"> of operating fee revenues into the Community and Technical College Innovation Fund.</w:t>
      </w:r>
    </w:p>
    <w:p w:rsidR="005A7841" w:rsidRDefault="005A7841" w:rsidP="005A7841">
      <w:pPr>
        <w:ind w:left="720"/>
      </w:pPr>
    </w:p>
    <w:p w:rsidR="005A7841" w:rsidRPr="002F40B3" w:rsidRDefault="005A7841" w:rsidP="005A7841">
      <w:pPr>
        <w:ind w:firstLine="720"/>
      </w:pPr>
      <w:r w:rsidRPr="00DA69E0">
        <w:rPr>
          <w:b/>
          <w:bCs/>
        </w:rPr>
        <w:t>APPROVED AND ADOPTED</w:t>
      </w:r>
      <w:r>
        <w:t xml:space="preserve"> on May </w:t>
      </w:r>
      <w:r w:rsidR="00206565">
        <w:t>6</w:t>
      </w:r>
      <w:bookmarkStart w:id="0" w:name="_GoBack"/>
      <w:bookmarkEnd w:id="0"/>
      <w:r>
        <w:t>, 20</w:t>
      </w:r>
      <w:r w:rsidR="00FC3455">
        <w:t>20</w:t>
      </w:r>
      <w:r w:rsidRPr="00DA69E0">
        <w:t>.</w:t>
      </w:r>
    </w:p>
    <w:p w:rsidR="005A7841" w:rsidRDefault="005A7841" w:rsidP="005A7841"/>
    <w:p w:rsidR="00D0654C" w:rsidRPr="002F40B3" w:rsidRDefault="00D0654C" w:rsidP="00D0654C"/>
    <w:p w:rsidR="00D0654C" w:rsidRDefault="00D0654C" w:rsidP="00D0654C">
      <w:pPr>
        <w:pStyle w:val="Heading2"/>
      </w:pPr>
      <w:r>
        <w:t>Attest</w:t>
      </w:r>
    </w:p>
    <w:p w:rsidR="00D0654C" w:rsidRDefault="00D0654C" w:rsidP="00D0654C">
      <w:pPr>
        <w:pStyle w:val="Body"/>
        <w:sectPr w:rsidR="00D0654C" w:rsidSect="0033768D">
          <w:headerReference w:type="first" r:id="rId7"/>
          <w:pgSz w:w="12240" w:h="15840" w:code="1"/>
          <w:pgMar w:top="1440" w:right="1440" w:bottom="1440" w:left="1440" w:header="720" w:footer="795" w:gutter="0"/>
          <w:cols w:space="720"/>
          <w:titlePg/>
          <w:docGrid w:linePitch="360"/>
        </w:sectPr>
      </w:pPr>
    </w:p>
    <w:p w:rsidR="009F2B83" w:rsidRPr="00511675" w:rsidRDefault="009F2B83" w:rsidP="009F2B83">
      <w:pPr>
        <w:pStyle w:val="Body"/>
      </w:pPr>
      <w:r>
        <w:t>____________________________________</w:t>
      </w:r>
      <w:r>
        <w:br/>
        <w:t>Jan Yoshiwara, secretary</w:t>
      </w:r>
    </w:p>
    <w:p w:rsidR="009F2B83" w:rsidRDefault="009F2B83" w:rsidP="009F2B83">
      <w:pPr>
        <w:pStyle w:val="Body"/>
        <w:sectPr w:rsidR="009F2B83" w:rsidSect="00593408">
          <w:headerReference w:type="first" r:id="rId8"/>
          <w:type w:val="continuous"/>
          <w:pgSz w:w="12240" w:h="15840" w:code="1"/>
          <w:pgMar w:top="1440" w:right="1440" w:bottom="1440" w:left="1440" w:header="720" w:footer="795" w:gutter="0"/>
          <w:cols w:num="2" w:space="720"/>
          <w:titlePg/>
          <w:docGrid w:linePitch="360"/>
        </w:sectPr>
      </w:pPr>
      <w:r>
        <w:t>________________</w:t>
      </w:r>
      <w:r w:rsidR="00FC3455">
        <w:t>____________________</w:t>
      </w:r>
      <w:r w:rsidR="00FC3455">
        <w:br/>
        <w:t>Wayne Martin</w:t>
      </w:r>
      <w:r>
        <w:t>, chair</w:t>
      </w:r>
    </w:p>
    <w:p w:rsidR="009F2B83" w:rsidRPr="00D8521D" w:rsidRDefault="009F2B83" w:rsidP="009F2B83">
      <w:pPr>
        <w:pStyle w:val="Body"/>
      </w:pPr>
    </w:p>
    <w:p w:rsidR="009F2B83" w:rsidRPr="00D8521D" w:rsidRDefault="009F2B83" w:rsidP="009F2B83">
      <w:pPr>
        <w:pStyle w:val="Body"/>
      </w:pPr>
    </w:p>
    <w:p w:rsidR="0042431E" w:rsidRDefault="00206565"/>
    <w:sectPr w:rsidR="0042431E" w:rsidSect="00FD54D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B5" w:rsidRDefault="00A37CBF">
      <w:pPr>
        <w:spacing w:after="0" w:line="240" w:lineRule="auto"/>
      </w:pPr>
      <w:r>
        <w:separator/>
      </w:r>
    </w:p>
  </w:endnote>
  <w:endnote w:type="continuationSeparator" w:id="0">
    <w:p w:rsidR="00792DB5" w:rsidRDefault="00A3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212870"/>
      <w:docPartObj>
        <w:docPartGallery w:val="Page Numbers (Bottom of Page)"/>
        <w:docPartUnique/>
      </w:docPartObj>
    </w:sdtPr>
    <w:sdtEndPr>
      <w:rPr>
        <w:rStyle w:val="BodyChar"/>
        <w:sz w:val="16"/>
      </w:rPr>
    </w:sdtEndPr>
    <w:sdtContent>
      <w:p w:rsidR="0014786B" w:rsidRPr="0014786B" w:rsidRDefault="009F2B83" w:rsidP="0014786B">
        <w:pPr>
          <w:pStyle w:val="Footer"/>
          <w:jc w:val="right"/>
          <w:rPr>
            <w:sz w:val="16"/>
          </w:rPr>
        </w:pPr>
        <w:r w:rsidRPr="0014786B">
          <w:rPr>
            <w:rStyle w:val="BodyChar"/>
            <w:sz w:val="16"/>
          </w:rPr>
          <w:fldChar w:fldCharType="begin"/>
        </w:r>
        <w:r w:rsidRPr="0014786B">
          <w:rPr>
            <w:rStyle w:val="BodyChar"/>
            <w:sz w:val="16"/>
          </w:rPr>
          <w:instrText xml:space="preserve"> PAGE   \* MERGEFORMAT </w:instrText>
        </w:r>
        <w:r w:rsidRPr="0014786B">
          <w:rPr>
            <w:rStyle w:val="BodyChar"/>
            <w:sz w:val="16"/>
          </w:rPr>
          <w:fldChar w:fldCharType="separate"/>
        </w:r>
        <w:r w:rsidR="000B00FE">
          <w:rPr>
            <w:rStyle w:val="BodyChar"/>
            <w:noProof/>
            <w:sz w:val="16"/>
          </w:rPr>
          <w:t>2</w:t>
        </w:r>
        <w:r w:rsidRPr="0014786B">
          <w:rPr>
            <w:rStyle w:val="BodyChar"/>
            <w:sz w:val="16"/>
          </w:rPr>
          <w:fldChar w:fldCharType="end"/>
        </w:r>
      </w:p>
    </w:sdtContent>
  </w:sdt>
  <w:p w:rsidR="00BD0F1C" w:rsidRDefault="00206565"/>
  <w:p w:rsidR="00BD0F1C" w:rsidRDefault="002065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161594"/>
      <w:docPartObj>
        <w:docPartGallery w:val="Page Numbers (Bottom of Page)"/>
        <w:docPartUnique/>
      </w:docPartObj>
    </w:sdtPr>
    <w:sdtEndPr>
      <w:rPr>
        <w:rStyle w:val="BodyChar"/>
        <w:sz w:val="16"/>
      </w:rPr>
    </w:sdtEndPr>
    <w:sdtContent>
      <w:p w:rsidR="00E542F5" w:rsidRPr="00E542F5" w:rsidRDefault="009F2B83" w:rsidP="00E542F5">
        <w:pPr>
          <w:pStyle w:val="Footer"/>
          <w:jc w:val="right"/>
          <w:rPr>
            <w:sz w:val="16"/>
          </w:rPr>
        </w:pPr>
        <w:r w:rsidRPr="00E542F5">
          <w:rPr>
            <w:rStyle w:val="BodyChar"/>
            <w:sz w:val="16"/>
          </w:rPr>
          <w:fldChar w:fldCharType="begin"/>
        </w:r>
        <w:r w:rsidRPr="00E542F5">
          <w:rPr>
            <w:rStyle w:val="BodyChar"/>
            <w:sz w:val="16"/>
          </w:rPr>
          <w:instrText xml:space="preserve"> PAGE   \* MERGEFORMAT </w:instrText>
        </w:r>
        <w:r w:rsidRPr="00E542F5">
          <w:rPr>
            <w:rStyle w:val="BodyChar"/>
            <w:sz w:val="16"/>
          </w:rPr>
          <w:fldChar w:fldCharType="separate"/>
        </w:r>
        <w:r w:rsidR="00206565">
          <w:rPr>
            <w:rStyle w:val="BodyChar"/>
            <w:noProof/>
            <w:sz w:val="16"/>
          </w:rPr>
          <w:t>2</w:t>
        </w:r>
        <w:r w:rsidRPr="00E542F5">
          <w:rPr>
            <w:rStyle w:val="BodyChar"/>
            <w:sz w:val="16"/>
          </w:rPr>
          <w:fldChar w:fldCharType="end"/>
        </w:r>
      </w:p>
    </w:sdtContent>
  </w:sdt>
  <w:p w:rsidR="00BD0F1C" w:rsidRDefault="00206565" w:rsidP="00152F9C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B5" w:rsidRDefault="00A37CBF">
      <w:pPr>
        <w:spacing w:after="0" w:line="240" w:lineRule="auto"/>
      </w:pPr>
      <w:r>
        <w:separator/>
      </w:r>
    </w:p>
  </w:footnote>
  <w:footnote w:type="continuationSeparator" w:id="0">
    <w:p w:rsidR="00792DB5" w:rsidRDefault="00A3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4C" w:rsidRPr="00B6546B" w:rsidRDefault="00D0654C" w:rsidP="497A52D0">
    <w:pPr>
      <w:pStyle w:val="Smalltitle-page23"/>
      <w:rPr>
        <w:color w:val="5B9BD5" w:themeColor="accent1"/>
      </w:rPr>
    </w:pPr>
    <w:r>
      <w:rPr>
        <w:b/>
        <w:noProof/>
        <w:color w:val="23335E"/>
        <w:sz w:val="90"/>
        <w:szCs w:val="90"/>
        <w:vertAlign w:val="subscript"/>
      </w:rPr>
      <w:drawing>
        <wp:anchor distT="0" distB="0" distL="114300" distR="114300" simplePos="0" relativeHeight="251660800" behindDoc="1" locked="0" layoutInCell="1" allowOverlap="1" wp14:anchorId="002A75CF" wp14:editId="77F62F2F">
          <wp:simplePos x="0" y="0"/>
          <wp:positionH relativeFrom="margin">
            <wp:posOffset>0</wp:posOffset>
          </wp:positionH>
          <wp:positionV relativeFrom="paragraph">
            <wp:posOffset>-93980</wp:posOffset>
          </wp:positionV>
          <wp:extent cx="2194560" cy="783771"/>
          <wp:effectExtent l="0" t="0" r="0" b="0"/>
          <wp:wrapSquare wrapText="bothSides"/>
          <wp:docPr id="2" name="Picture 2" descr="State Board logo" title="Stat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3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83599405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5B9BD5" w:themeColor="accent1"/>
        </w:rPr>
      </w:sdtEndPr>
      <w:sdtContent>
        <w:r>
          <w:t xml:space="preserve">     </w:t>
        </w:r>
      </w:sdtContent>
    </w:sdt>
  </w:p>
  <w:p w:rsidR="00D0654C" w:rsidRDefault="00D0654C" w:rsidP="00D8521D">
    <w:pPr>
      <w:pStyle w:val="Body"/>
    </w:pPr>
  </w:p>
  <w:p w:rsidR="00D0654C" w:rsidRDefault="00D0654C" w:rsidP="00D8521D">
    <w:pPr>
      <w:pStyle w:val="Body"/>
    </w:pPr>
  </w:p>
  <w:p w:rsidR="00D0654C" w:rsidRDefault="00D0654C" w:rsidP="00152F9C">
    <w:pPr>
      <w:pStyle w:val="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8D" w:rsidRPr="00B6546B" w:rsidRDefault="009F2B83" w:rsidP="497A52D0">
    <w:pPr>
      <w:pStyle w:val="Smalltitle-page23"/>
      <w:rPr>
        <w:color w:val="5B9BD5" w:themeColor="accent1"/>
      </w:rPr>
    </w:pPr>
    <w:r>
      <w:rPr>
        <w:b/>
        <w:noProof/>
        <w:color w:val="23335E"/>
        <w:sz w:val="90"/>
        <w:szCs w:val="90"/>
        <w:vertAlign w:val="subscript"/>
      </w:rPr>
      <w:drawing>
        <wp:anchor distT="0" distB="0" distL="114300" distR="114300" simplePos="0" relativeHeight="251656704" behindDoc="1" locked="0" layoutInCell="1" allowOverlap="1" wp14:anchorId="3FDD131F" wp14:editId="1F3366C7">
          <wp:simplePos x="0" y="0"/>
          <wp:positionH relativeFrom="margin">
            <wp:posOffset>0</wp:posOffset>
          </wp:positionH>
          <wp:positionV relativeFrom="paragraph">
            <wp:posOffset>-93980</wp:posOffset>
          </wp:positionV>
          <wp:extent cx="2194560" cy="783771"/>
          <wp:effectExtent l="0" t="0" r="0" b="0"/>
          <wp:wrapSquare wrapText="bothSides"/>
          <wp:docPr id="6" name="Picture 6" descr="State Board logo" title="Stat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3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179333304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5B9BD5" w:themeColor="accent1"/>
        </w:rPr>
      </w:sdtEndPr>
      <w:sdtContent>
        <w:r>
          <w:t xml:space="preserve">     </w:t>
        </w:r>
      </w:sdtContent>
    </w:sdt>
  </w:p>
  <w:p w:rsidR="0033768D" w:rsidRDefault="00206565" w:rsidP="00D8521D">
    <w:pPr>
      <w:pStyle w:val="Body"/>
    </w:pPr>
  </w:p>
  <w:p w:rsidR="0033768D" w:rsidRDefault="00206565" w:rsidP="00D8521D">
    <w:pPr>
      <w:pStyle w:val="Body"/>
    </w:pPr>
  </w:p>
  <w:p w:rsidR="0033768D" w:rsidRDefault="00206565" w:rsidP="00152F9C">
    <w:pPr>
      <w:pStyle w:val="Bod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DF" w:rsidRDefault="00206565" w:rsidP="497A52D0">
    <w:pPr>
      <w:pStyle w:val="Smalltitle-page23"/>
      <w:rPr>
        <w:color w:val="5B9BD5" w:themeColor="accent1"/>
      </w:rPr>
    </w:pPr>
    <w:sdt>
      <w:sdtPr>
        <w:alias w:val="Title"/>
        <w:tag w:val=""/>
        <w:id w:val="8781369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5B9BD5" w:themeColor="accent1"/>
        </w:rPr>
      </w:sdtEndPr>
      <w:sdtContent>
        <w:r w:rsidR="009F2B83">
          <w:t xml:space="preserve">     </w:t>
        </w:r>
      </w:sdtContent>
    </w:sdt>
  </w:p>
  <w:p w:rsidR="00BD0F1C" w:rsidRPr="001906BA" w:rsidRDefault="009F2B83" w:rsidP="00A563EB">
    <w:pPr>
      <w:pStyle w:val="Body"/>
      <w:rPr>
        <w:color w:val="5B9BD5" w:themeColor="accent1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AE38B87" wp14:editId="466C8EC9">
          <wp:simplePos x="0" y="0"/>
          <wp:positionH relativeFrom="column">
            <wp:posOffset>0</wp:posOffset>
          </wp:positionH>
          <wp:positionV relativeFrom="paragraph">
            <wp:posOffset>61804</wp:posOffset>
          </wp:positionV>
          <wp:extent cx="6400800" cy="91439"/>
          <wp:effectExtent l="0" t="0" r="0" b="4445"/>
          <wp:wrapSquare wrapText="bothSides"/>
          <wp:docPr id="132" name="Picture 132" descr="Stacked line heading" title="Stacked line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ssue_brief_header_thi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1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1D" w:rsidRPr="00B6546B" w:rsidRDefault="009F2B83" w:rsidP="497A52D0">
    <w:pPr>
      <w:pStyle w:val="Smalltitle-page23"/>
      <w:rPr>
        <w:color w:val="5B9BD5" w:themeColor="accent1"/>
      </w:rPr>
    </w:pPr>
    <w:r>
      <w:rPr>
        <w:b/>
        <w:noProof/>
        <w:color w:val="23335E"/>
        <w:sz w:val="90"/>
        <w:szCs w:val="90"/>
        <w:vertAlign w:val="subscript"/>
      </w:rPr>
      <w:drawing>
        <wp:anchor distT="0" distB="0" distL="114300" distR="114300" simplePos="0" relativeHeight="251657728" behindDoc="1" locked="0" layoutInCell="1" allowOverlap="1" wp14:anchorId="4DAE9F91" wp14:editId="3F2C62C1">
          <wp:simplePos x="0" y="0"/>
          <wp:positionH relativeFrom="margin">
            <wp:posOffset>0</wp:posOffset>
          </wp:positionH>
          <wp:positionV relativeFrom="paragraph">
            <wp:posOffset>-93980</wp:posOffset>
          </wp:positionV>
          <wp:extent cx="2194560" cy="783771"/>
          <wp:effectExtent l="0" t="0" r="0" b="0"/>
          <wp:wrapSquare wrapText="bothSides"/>
          <wp:docPr id="1" name="Picture 1" descr="State Board logo" title="Stat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3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102132067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5B9BD5" w:themeColor="accent1"/>
        </w:rPr>
      </w:sdtEndPr>
      <w:sdtContent>
        <w:r>
          <w:t xml:space="preserve">     </w:t>
        </w:r>
      </w:sdtContent>
    </w:sdt>
  </w:p>
  <w:p w:rsidR="00E13251" w:rsidRDefault="002065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6AC"/>
    <w:multiLevelType w:val="hybridMultilevel"/>
    <w:tmpl w:val="4D8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1DE2"/>
    <w:multiLevelType w:val="hybridMultilevel"/>
    <w:tmpl w:val="299CC9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3"/>
    <w:rsid w:val="00094492"/>
    <w:rsid w:val="000B00FE"/>
    <w:rsid w:val="001F3928"/>
    <w:rsid w:val="00206565"/>
    <w:rsid w:val="005A7841"/>
    <w:rsid w:val="00792DB5"/>
    <w:rsid w:val="008A133D"/>
    <w:rsid w:val="009F2B83"/>
    <w:rsid w:val="00A37CBF"/>
    <w:rsid w:val="00A53E12"/>
    <w:rsid w:val="00A9328A"/>
    <w:rsid w:val="00B3306A"/>
    <w:rsid w:val="00D0654C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B246"/>
  <w15:chartTrackingRefBased/>
  <w15:docId w15:val="{BFBC0D58-A9FF-4720-B92F-4846DEDE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2B83"/>
    <w:rPr>
      <w:rFonts w:ascii="Franklin Gothic Book" w:hAnsi="Franklin Gothic Book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2B83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2B83"/>
    <w:pPr>
      <w:widowControl w:val="0"/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0071CE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2B83"/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F2B83"/>
    <w:rPr>
      <w:rFonts w:ascii="Franklin Gothic Medium" w:hAnsi="Franklin Gothic Medium" w:cs="SourceSansPro-Light"/>
      <w:bCs/>
      <w:color w:val="0071CE"/>
      <w:sz w:val="28"/>
      <w:szCs w:val="21"/>
    </w:rPr>
  </w:style>
  <w:style w:type="paragraph" w:styleId="Footer">
    <w:name w:val="footer"/>
    <w:basedOn w:val="Normal"/>
    <w:link w:val="FooterChar"/>
    <w:uiPriority w:val="99"/>
    <w:semiHidden/>
    <w:rsid w:val="009F2B8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2B83"/>
    <w:rPr>
      <w:rFonts w:ascii="Franklin Gothic Book" w:hAnsi="Franklin Gothic Book"/>
      <w:sz w:val="24"/>
      <w:szCs w:val="24"/>
    </w:rPr>
  </w:style>
  <w:style w:type="paragraph" w:customStyle="1" w:styleId="Body">
    <w:name w:val="Body"/>
    <w:basedOn w:val="Normal"/>
    <w:link w:val="BodyChar"/>
    <w:qFormat/>
    <w:rsid w:val="009F2B83"/>
    <w:pPr>
      <w:widowControl w:val="0"/>
      <w:suppressAutoHyphens/>
      <w:autoSpaceDE w:val="0"/>
      <w:autoSpaceDN w:val="0"/>
      <w:adjustRightInd w:val="0"/>
      <w:spacing w:before="120" w:after="0" w:line="280" w:lineRule="atLeast"/>
      <w:textAlignment w:val="center"/>
    </w:pPr>
  </w:style>
  <w:style w:type="character" w:customStyle="1" w:styleId="BodyChar">
    <w:name w:val="Body Char"/>
    <w:basedOn w:val="DefaultParagraphFont"/>
    <w:link w:val="Body"/>
    <w:rsid w:val="009F2B83"/>
    <w:rPr>
      <w:rFonts w:ascii="Franklin Gothic Book" w:hAnsi="Franklin Gothic Book"/>
      <w:sz w:val="20"/>
    </w:rPr>
  </w:style>
  <w:style w:type="paragraph" w:customStyle="1" w:styleId="Smalltitle-page23">
    <w:name w:val="Small title - page 2/3"/>
    <w:basedOn w:val="Header"/>
    <w:link w:val="Smalltitle-page23Char"/>
    <w:uiPriority w:val="2"/>
    <w:qFormat/>
    <w:rsid w:val="009F2B83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olor w:val="6D6E71"/>
      <w:szCs w:val="24"/>
    </w:rPr>
  </w:style>
  <w:style w:type="character" w:customStyle="1" w:styleId="Smalltitle-page23Char">
    <w:name w:val="Small title - page 2/3 Char"/>
    <w:basedOn w:val="HeaderChar"/>
    <w:link w:val="Smalltitle-page23"/>
    <w:uiPriority w:val="2"/>
    <w:rsid w:val="009F2B83"/>
    <w:rPr>
      <w:rFonts w:ascii="Franklin Gothic Medium" w:hAnsi="Franklin Gothic Medium"/>
      <w:color w:val="6D6E71"/>
      <w:sz w:val="20"/>
      <w:szCs w:val="24"/>
    </w:rPr>
  </w:style>
  <w:style w:type="paragraph" w:styleId="NoSpacing">
    <w:name w:val="No Spacing"/>
    <w:uiPriority w:val="1"/>
    <w:qFormat/>
    <w:rsid w:val="009F2B83"/>
    <w:pPr>
      <w:spacing w:after="0" w:line="240" w:lineRule="auto"/>
    </w:pPr>
    <w:rPr>
      <w:rFonts w:ascii="Franklin Gothic Book" w:hAnsi="Franklin Gothic Book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B83"/>
    <w:rPr>
      <w:rFonts w:ascii="Franklin Gothic Book" w:hAnsi="Franklin Gothic Book"/>
      <w:sz w:val="20"/>
    </w:rPr>
  </w:style>
  <w:style w:type="table" w:styleId="TableGrid">
    <w:name w:val="Table Grid"/>
    <w:basedOn w:val="TableNormal"/>
    <w:uiPriority w:val="59"/>
    <w:rsid w:val="00D0654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654C"/>
    <w:pPr>
      <w:pBdr>
        <w:bottom w:val="single" w:sz="8" w:space="4" w:color="5B9BD5" w:themeColor="accent1"/>
      </w:pBdr>
      <w:spacing w:before="200"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54C"/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Berthon</dc:creator>
  <cp:keywords/>
  <dc:description/>
  <cp:lastModifiedBy>Cherie Berthon</cp:lastModifiedBy>
  <cp:revision>3</cp:revision>
  <dcterms:created xsi:type="dcterms:W3CDTF">2020-05-06T22:41:00Z</dcterms:created>
  <dcterms:modified xsi:type="dcterms:W3CDTF">2020-05-06T22:43:00Z</dcterms:modified>
</cp:coreProperties>
</file>