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60" w:rsidRPr="00034A60" w:rsidRDefault="00034A60" w:rsidP="00034A60">
      <w:pPr>
        <w:shd w:val="clear" w:color="auto" w:fill="FFFFFF"/>
        <w:spacing w:after="150" w:line="360" w:lineRule="atLeast"/>
        <w:rPr>
          <w:rFonts w:ascii="Open Sans" w:hAnsi="Open Sans" w:cs="Helvetica"/>
          <w:color w:val="575757"/>
          <w:sz w:val="21"/>
          <w:szCs w:val="21"/>
          <w:lang w:val="en"/>
        </w:rPr>
      </w:pPr>
      <w:bookmarkStart w:id="0" w:name="graduationwaiver"/>
      <w:bookmarkEnd w:id="0"/>
      <w:r w:rsidRPr="00034A60">
        <w:rPr>
          <w:rFonts w:ascii="Open Sans" w:hAnsi="Open Sans" w:cs="Helvetica"/>
          <w:b/>
          <w:bCs/>
          <w:color w:val="575757"/>
          <w:sz w:val="21"/>
          <w:szCs w:val="21"/>
          <w:lang w:val="en"/>
        </w:rPr>
        <w:t>Applications for Waiver of Implementation of the 24 Credit Framework for Up to Two Years</w:t>
      </w:r>
    </w:p>
    <w:p w:rsidR="00034A60" w:rsidRPr="00034A60" w:rsidRDefault="00034A60" w:rsidP="00034A60">
      <w:pPr>
        <w:shd w:val="clear" w:color="auto" w:fill="FFFFFF"/>
        <w:spacing w:after="150" w:line="360" w:lineRule="atLeast"/>
        <w:rPr>
          <w:rFonts w:ascii="Open Sans" w:hAnsi="Open Sans" w:cs="Helvetica"/>
          <w:color w:val="575757"/>
          <w:sz w:val="21"/>
          <w:szCs w:val="21"/>
          <w:lang w:val="en"/>
        </w:rPr>
      </w:pPr>
      <w:hyperlink r:id="rId4" w:tgtFrame="_blank" w:history="1">
        <w:r w:rsidRPr="00034A60">
          <w:rPr>
            <w:rFonts w:ascii="Open Sans" w:hAnsi="Open Sans" w:cs="Helvetica"/>
            <w:color w:val="428BCA"/>
            <w:sz w:val="21"/>
            <w:szCs w:val="21"/>
            <w:lang w:val="en"/>
          </w:rPr>
          <w:t>RCW 28A.230.090</w:t>
        </w:r>
      </w:hyperlink>
      <w:r w:rsidRPr="00034A60">
        <w:rPr>
          <w:rFonts w:ascii="Open Sans" w:hAnsi="Open Sans" w:cs="Helvetica"/>
          <w:color w:val="575757"/>
          <w:sz w:val="21"/>
          <w:szCs w:val="21"/>
          <w:lang w:val="en"/>
        </w:rPr>
        <w:t xml:space="preserve"> (1) provides that school districts may apply to the State Board of Education for a waiver to implement the Career- and College-Ready Graduation requirements adopted in 2014 beginning with the graduating class of 2020 or 2021 rather than the graduating class of 2019. The SBE </w:t>
      </w:r>
      <w:proofErr w:type="gramStart"/>
      <w:r w:rsidRPr="00034A60">
        <w:rPr>
          <w:rFonts w:ascii="Open Sans" w:hAnsi="Open Sans" w:cs="Helvetica"/>
          <w:color w:val="575757"/>
          <w:sz w:val="21"/>
          <w:szCs w:val="21"/>
          <w:lang w:val="en"/>
        </w:rPr>
        <w:t>is directed</w:t>
      </w:r>
      <w:proofErr w:type="gramEnd"/>
      <w:r w:rsidRPr="00034A60">
        <w:rPr>
          <w:rFonts w:ascii="Open Sans" w:hAnsi="Open Sans" w:cs="Helvetica"/>
          <w:color w:val="575757"/>
          <w:sz w:val="21"/>
          <w:szCs w:val="21"/>
          <w:lang w:val="en"/>
        </w:rPr>
        <w:t xml:space="preserve"> to grant such waiver to an applying school district at the next subsequent meeting of the Board after receiving an application. (E2SSB 6552. Chapter 217, Laws of 2014.) </w:t>
      </w:r>
      <w:hyperlink r:id="rId5" w:tgtFrame="_blank" w:history="1">
        <w:r w:rsidRPr="00034A60">
          <w:rPr>
            <w:rFonts w:ascii="Open Sans" w:hAnsi="Open Sans" w:cs="Helvetica"/>
            <w:color w:val="428BCA"/>
            <w:sz w:val="21"/>
            <w:szCs w:val="21"/>
            <w:lang w:val="en"/>
          </w:rPr>
          <w:t>WAC 180-51-068</w:t>
        </w:r>
      </w:hyperlink>
      <w:r w:rsidRPr="00034A60">
        <w:rPr>
          <w:rFonts w:ascii="Open Sans" w:hAnsi="Open Sans" w:cs="Helvetica"/>
          <w:color w:val="575757"/>
          <w:sz w:val="21"/>
          <w:szCs w:val="21"/>
          <w:lang w:val="en"/>
        </w:rPr>
        <w:t xml:space="preserve"> (11) implements this provision. For more information about graduation requirements, visit the </w:t>
      </w:r>
      <w:hyperlink r:id="rId6" w:history="1">
        <w:r w:rsidRPr="00034A60">
          <w:rPr>
            <w:rFonts w:ascii="Open Sans" w:hAnsi="Open Sans" w:cs="Helvetica"/>
            <w:color w:val="428BCA"/>
            <w:sz w:val="21"/>
            <w:szCs w:val="21"/>
            <w:lang w:val="en"/>
          </w:rPr>
          <w:t>Graduation Requirements page</w:t>
        </w:r>
      </w:hyperlink>
      <w:r w:rsidRPr="00034A60">
        <w:rPr>
          <w:rFonts w:ascii="Open Sans" w:hAnsi="Open Sans" w:cs="Helvetica"/>
          <w:color w:val="575757"/>
          <w:sz w:val="21"/>
          <w:szCs w:val="21"/>
          <w:lang w:val="en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2643"/>
        <w:gridCol w:w="3483"/>
      </w:tblGrid>
      <w:tr w:rsidR="00034A60" w:rsidRPr="00034A60" w:rsidTr="00034A60">
        <w:trPr>
          <w:tblHeader/>
        </w:trPr>
        <w:tc>
          <w:tcPr>
            <w:tcW w:w="3135" w:type="dxa"/>
            <w:tcBorders>
              <w:bottom w:val="single" w:sz="18" w:space="0" w:color="CCCCCC"/>
            </w:tcBorders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b/>
                <w:bCs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b/>
                <w:bCs/>
                <w:color w:val="575757"/>
                <w:sz w:val="21"/>
                <w:szCs w:val="21"/>
              </w:rPr>
              <w:t>District (or other entity)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b/>
                <w:bCs/>
                <w:color w:val="575757"/>
                <w:sz w:val="21"/>
                <w:szCs w:val="21"/>
              </w:rPr>
            </w:pPr>
            <w:r>
              <w:rPr>
                <w:rFonts w:ascii="Open Sans" w:hAnsi="Open Sans" w:cs="Helvetica"/>
                <w:b/>
                <w:bCs/>
                <w:color w:val="575757"/>
                <w:sz w:val="21"/>
                <w:szCs w:val="21"/>
              </w:rPr>
              <w:t>Date Granted</w:t>
            </w:r>
          </w:p>
        </w:tc>
        <w:tc>
          <w:tcPr>
            <w:tcW w:w="3750" w:type="dxa"/>
            <w:tcBorders>
              <w:bottom w:val="single" w:sz="18" w:space="0" w:color="CCCCCC"/>
            </w:tcBorders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b/>
                <w:bCs/>
                <w:color w:val="575757"/>
                <w:sz w:val="21"/>
                <w:szCs w:val="21"/>
              </w:rPr>
            </w:pPr>
            <w:r>
              <w:rPr>
                <w:rFonts w:ascii="Open Sans" w:hAnsi="Open Sans" w:cs="Helvetica"/>
                <w:b/>
                <w:bCs/>
                <w:color w:val="575757"/>
                <w:sz w:val="21"/>
                <w:szCs w:val="21"/>
              </w:rPr>
              <w:t>Graduating Classes Waived</w:t>
            </w:r>
            <w:bookmarkStart w:id="1" w:name="_GoBack"/>
            <w:bookmarkEnd w:id="1"/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Aberdeen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Auburn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8,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Arlington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11, 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Battle Ground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8,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Bellingham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Bethel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8,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Blaine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Bremerton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10,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Camas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Castle Rock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Centralia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12,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Central Kitsap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Central Valley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Chehalis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Cheney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7, 2018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Chimacum</w:t>
            </w:r>
            <w:proofErr w:type="spellEnd"/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Clarkston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14,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College Place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September 11,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Concrete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8,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Coupeville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Crescent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10,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Darrington</w:t>
            </w:r>
            <w:proofErr w:type="spellEnd"/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Deer Park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Eastmont</w:t>
            </w:r>
            <w:proofErr w:type="spellEnd"/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East Valley (Spokane)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12,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East Valley (Yakima)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November 10,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Eatonville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Edmonds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Ellensburg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Elma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Entiat</w:t>
            </w:r>
            <w:proofErr w:type="spellEnd"/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November 5,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Everett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14,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Evergreen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14,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Fife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September 11,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Finley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Franklin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Granite Falls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Highline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Hoquiam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Kalama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Kennewick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Kent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August 9, 2018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Kettle Falls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Kiona</w:t>
            </w:r>
            <w:proofErr w:type="spellEnd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-Benton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Lake Stevens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Lakewood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Liberty Christian School of the Tri-Cities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14,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Longview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November 14, 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Lower Columbia College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September 13, 2018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Lynden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Marysville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Mead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 (Class of 2019) and July 12, 2018 (Class of 2020)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Mossyrock</w:t>
            </w:r>
            <w:proofErr w:type="spellEnd"/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Mukilteo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9, 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Naches Valley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November 5,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Napavine</w:t>
            </w:r>
            <w:proofErr w:type="spellEnd"/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North Kitsap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North Thurston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Okanogan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12,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Omak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November 8, 2018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Olympia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Pasco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Port Angeles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10,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Prosser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Quilcene</w:t>
            </w:r>
            <w:proofErr w:type="spellEnd"/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Raymond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11, 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Renton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Richland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Ridgefield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Rochester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Seattle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8,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Sedro Woolley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Shelton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Shoreline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Snohomish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November 14, 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South Bend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Spokane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14,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Stanwood-Camano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8,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Sultan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Sumner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Taholah</w:t>
            </w:r>
            <w:proofErr w:type="spellEnd"/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Tahoma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Tenino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14, 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Toledo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Touchet</w:t>
            </w:r>
            <w:proofErr w:type="spellEnd"/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Toutle Lake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March 12,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Tukwila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Tumwater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Vancouver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Walla Walla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Washougal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November 5,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Wellpinit</w:t>
            </w:r>
            <w:proofErr w:type="spellEnd"/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January 8,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Wenatchee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West Valley (Spokane)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White Pass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White Salmon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July 9,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proofErr w:type="spellStart"/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Wishram</w:t>
            </w:r>
            <w:proofErr w:type="spellEnd"/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November 8, 2018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Winlock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  <w:tr w:rsidR="00034A60" w:rsidRPr="00034A60" w:rsidTr="00034A60"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Yelm</w:t>
            </w:r>
          </w:p>
        </w:tc>
        <w:tc>
          <w:tcPr>
            <w:tcW w:w="2835" w:type="dxa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May 14, 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A60" w:rsidRPr="00034A60" w:rsidRDefault="00034A60" w:rsidP="00034A60">
            <w:pPr>
              <w:spacing w:after="0"/>
              <w:rPr>
                <w:rFonts w:ascii="Open Sans" w:hAnsi="Open Sans" w:cs="Helvetica"/>
                <w:color w:val="575757"/>
                <w:sz w:val="21"/>
                <w:szCs w:val="21"/>
              </w:rPr>
            </w:pPr>
            <w:r w:rsidRPr="00034A60">
              <w:rPr>
                <w:rFonts w:ascii="Open Sans" w:hAnsi="Open Sans" w:cs="Helvetica"/>
                <w:color w:val="575757"/>
                <w:sz w:val="21"/>
                <w:szCs w:val="21"/>
              </w:rPr>
              <w:t>2019 and 2020</w:t>
            </w:r>
          </w:p>
        </w:tc>
      </w:tr>
    </w:tbl>
    <w:p w:rsidR="0055442B" w:rsidRDefault="00034A60"/>
    <w:sectPr w:rsidR="0055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60"/>
    <w:rsid w:val="00034A60"/>
    <w:rsid w:val="001C1899"/>
    <w:rsid w:val="008F4BFA"/>
    <w:rsid w:val="00E04D74"/>
    <w:rsid w:val="00E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6A5BA-FCD1-4D39-8A4A-4F914FED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99"/>
    <w:pPr>
      <w:spacing w:after="12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42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9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.wa.gov/our-work/graduation-requirements" TargetMode="External"/><Relationship Id="rId5" Type="http://schemas.openxmlformats.org/officeDocument/2006/relationships/hyperlink" Target="http://app.leg.wa.gov/WAC/default.aspx?cite=180-51-068" TargetMode="External"/><Relationship Id="rId4" Type="http://schemas.openxmlformats.org/officeDocument/2006/relationships/hyperlink" Target="http://app.leg.wa.gov/rcw/default.aspx?cite=28A.230.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Teed</dc:creator>
  <cp:keywords/>
  <dc:description/>
  <cp:lastModifiedBy>Parker Teed</cp:lastModifiedBy>
  <cp:revision>1</cp:revision>
  <dcterms:created xsi:type="dcterms:W3CDTF">2019-02-22T20:54:00Z</dcterms:created>
  <dcterms:modified xsi:type="dcterms:W3CDTF">2019-02-22T20:59:00Z</dcterms:modified>
</cp:coreProperties>
</file>