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0443E9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0443E9">
        <w:rPr>
          <w:b/>
          <w:color w:val="FF0000"/>
          <w:sz w:val="24"/>
          <w:szCs w:val="24"/>
        </w:rPr>
        <w:t>NOT FOR DISTRIBUTION</w:t>
      </w:r>
    </w:p>
    <w:p w:rsidR="000443E9" w:rsidRDefault="000443E9" w:rsidP="00283E0B">
      <w:pPr>
        <w:spacing w:after="0"/>
        <w:rPr>
          <w:b/>
          <w:sz w:val="24"/>
          <w:szCs w:val="24"/>
        </w:rPr>
      </w:pPr>
    </w:p>
    <w:p w:rsidR="004F553F" w:rsidRDefault="00826AF9" w:rsidP="00283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833C38" w:rsidRPr="004F553F">
        <w:rPr>
          <w:b/>
          <w:sz w:val="24"/>
          <w:szCs w:val="24"/>
        </w:rPr>
        <w:t xml:space="preserve"> Bill Watch for Student Services</w:t>
      </w:r>
      <w:r w:rsidR="00283E0B" w:rsidRPr="004F553F">
        <w:rPr>
          <w:b/>
          <w:sz w:val="24"/>
          <w:szCs w:val="24"/>
        </w:rPr>
        <w:tab/>
      </w:r>
    </w:p>
    <w:p w:rsidR="00826AF9" w:rsidRDefault="00833C38" w:rsidP="00283E0B">
      <w:pPr>
        <w:spacing w:after="0"/>
        <w:rPr>
          <w:sz w:val="24"/>
          <w:szCs w:val="24"/>
        </w:rPr>
      </w:pPr>
      <w:r w:rsidRPr="004F553F">
        <w:rPr>
          <w:sz w:val="24"/>
          <w:szCs w:val="24"/>
        </w:rPr>
        <w:t>Joe Holliday, SBCTC Director of Student Services</w:t>
      </w:r>
    </w:p>
    <w:p w:rsidR="00DD49E5" w:rsidRPr="002B12AF" w:rsidRDefault="00C54D69" w:rsidP="00283E0B">
      <w:pPr>
        <w:spacing w:after="0"/>
        <w:rPr>
          <w:b/>
          <w:sz w:val="24"/>
          <w:szCs w:val="24"/>
        </w:rPr>
      </w:pPr>
      <w:r w:rsidRPr="002B12AF">
        <w:rPr>
          <w:b/>
          <w:sz w:val="24"/>
          <w:szCs w:val="24"/>
        </w:rPr>
        <w:t>February</w:t>
      </w:r>
      <w:r w:rsidR="00826AF9" w:rsidRPr="002B12AF">
        <w:rPr>
          <w:b/>
          <w:sz w:val="24"/>
          <w:szCs w:val="24"/>
        </w:rPr>
        <w:t xml:space="preserve"> </w:t>
      </w:r>
      <w:r w:rsidR="006D1B3D">
        <w:rPr>
          <w:b/>
          <w:sz w:val="24"/>
          <w:szCs w:val="24"/>
        </w:rPr>
        <w:t>19</w:t>
      </w:r>
      <w:r w:rsidR="002B12AF" w:rsidRPr="002B12AF">
        <w:rPr>
          <w:b/>
          <w:sz w:val="24"/>
          <w:szCs w:val="24"/>
        </w:rPr>
        <w:t xml:space="preserve">, </w:t>
      </w:r>
      <w:r w:rsidR="00826AF9" w:rsidRPr="002B12AF">
        <w:rPr>
          <w:b/>
          <w:sz w:val="24"/>
          <w:szCs w:val="24"/>
        </w:rPr>
        <w:t>2019</w:t>
      </w:r>
    </w:p>
    <w:p w:rsidR="004F553F" w:rsidRDefault="004F553F" w:rsidP="00283E0B">
      <w:pPr>
        <w:spacing w:after="0"/>
        <w:rPr>
          <w:sz w:val="24"/>
          <w:szCs w:val="24"/>
        </w:rPr>
      </w:pPr>
    </w:p>
    <w:p w:rsidR="009E724B" w:rsidRDefault="009E724B" w:rsidP="00283E0B">
      <w:pPr>
        <w:spacing w:after="0"/>
        <w:rPr>
          <w:sz w:val="24"/>
          <w:szCs w:val="24"/>
        </w:rPr>
      </w:pPr>
      <w:r w:rsidRPr="004F553F">
        <w:rPr>
          <w:sz w:val="24"/>
          <w:szCs w:val="24"/>
        </w:rPr>
        <w:t xml:space="preserve">For full Bill information, go to </w:t>
      </w:r>
      <w:hyperlink r:id="rId7" w:history="1">
        <w:r w:rsidRPr="004F553F">
          <w:rPr>
            <w:rStyle w:val="Hyperlink"/>
            <w:sz w:val="24"/>
            <w:szCs w:val="24"/>
          </w:rPr>
          <w:t>http://app.leg.wa.gov/billinfo/</w:t>
        </w:r>
      </w:hyperlink>
      <w:r w:rsidRPr="004F553F">
        <w:rPr>
          <w:sz w:val="24"/>
          <w:szCs w:val="24"/>
        </w:rPr>
        <w:t xml:space="preserve"> and use the Search by Bill Number feature</w:t>
      </w:r>
    </w:p>
    <w:p w:rsidR="009153EA" w:rsidRPr="004F553F" w:rsidRDefault="00283E0B" w:rsidP="00283E0B">
      <w:pPr>
        <w:spacing w:after="0"/>
        <w:rPr>
          <w:b/>
          <w:sz w:val="24"/>
          <w:szCs w:val="24"/>
        </w:rPr>
      </w:pPr>
      <w:r w:rsidRPr="004F553F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5232"/>
        <w:gridCol w:w="1170"/>
        <w:gridCol w:w="7200"/>
      </w:tblGrid>
      <w:tr w:rsidR="001750A3" w:rsidRPr="004F553F" w:rsidTr="00B443F4">
        <w:trPr>
          <w:tblHeader/>
        </w:trPr>
        <w:tc>
          <w:tcPr>
            <w:tcW w:w="703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5232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720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4F553F" w:rsidRDefault="0017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1039</w:t>
            </w:r>
          </w:p>
        </w:tc>
        <w:tc>
          <w:tcPr>
            <w:tcW w:w="5232" w:type="dxa"/>
          </w:tcPr>
          <w:p w:rsidR="001750A3" w:rsidRPr="004F553F" w:rsidRDefault="001750A3" w:rsidP="00B443F4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Opioid Medication</w:t>
            </w:r>
            <w:r w:rsidR="00A01443">
              <w:rPr>
                <w:sz w:val="24"/>
                <w:szCs w:val="24"/>
              </w:rPr>
              <w:t xml:space="preserve">: </w:t>
            </w:r>
            <w:r w:rsidR="007007DE">
              <w:rPr>
                <w:sz w:val="24"/>
                <w:szCs w:val="24"/>
              </w:rPr>
              <w:t>Colleges with residence halls housing 100+ students must develop plans for administering opioid overdose medication</w:t>
            </w:r>
            <w:r w:rsidR="00C54D69">
              <w:rPr>
                <w:sz w:val="24"/>
                <w:szCs w:val="24"/>
              </w:rPr>
              <w:t xml:space="preserve"> in and around residence halls</w:t>
            </w:r>
            <w:r w:rsidR="002B12AF">
              <w:rPr>
                <w:sz w:val="24"/>
                <w:szCs w:val="24"/>
              </w:rPr>
              <w:t xml:space="preserve"> </w:t>
            </w:r>
            <w:r w:rsidR="002E0AD0">
              <w:rPr>
                <w:sz w:val="24"/>
                <w:szCs w:val="24"/>
              </w:rPr>
              <w:t>by the beginning of the 2019-20 academic year</w:t>
            </w:r>
            <w:r w:rsidR="00D4581A">
              <w:rPr>
                <w:sz w:val="24"/>
                <w:szCs w:val="24"/>
              </w:rPr>
              <w:t xml:space="preserve">; fiscal of $307K for biennium (includes </w:t>
            </w:r>
            <w:r w:rsidR="002B12AF">
              <w:rPr>
                <w:sz w:val="24"/>
                <w:szCs w:val="24"/>
              </w:rPr>
              <w:t xml:space="preserve">staff time, </w:t>
            </w:r>
            <w:r w:rsidR="00B443F4">
              <w:rPr>
                <w:sz w:val="24"/>
                <w:szCs w:val="24"/>
              </w:rPr>
              <w:t>training, medication)</w:t>
            </w:r>
          </w:p>
        </w:tc>
        <w:tc>
          <w:tcPr>
            <w:tcW w:w="1170" w:type="dxa"/>
          </w:tcPr>
          <w:p w:rsidR="001750A3" w:rsidRDefault="00E7686C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200" w:type="dxa"/>
          </w:tcPr>
          <w:p w:rsidR="001750A3" w:rsidRDefault="00127C52" w:rsidP="0087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Mostly deals with K-12, but </w:t>
            </w:r>
            <w:r w:rsidR="00570DC3">
              <w:rPr>
                <w:sz w:val="24"/>
                <w:szCs w:val="24"/>
              </w:rPr>
              <w:t>require</w:t>
            </w:r>
            <w:r>
              <w:rPr>
                <w:sz w:val="24"/>
                <w:szCs w:val="24"/>
              </w:rPr>
              <w:t>s</w:t>
            </w:r>
            <w:r w:rsidR="00570DC3">
              <w:rPr>
                <w:sz w:val="24"/>
                <w:szCs w:val="24"/>
              </w:rPr>
              <w:t xml:space="preserve"> colleges to </w:t>
            </w:r>
            <w:r>
              <w:rPr>
                <w:sz w:val="24"/>
                <w:szCs w:val="24"/>
              </w:rPr>
              <w:t>develop a p</w:t>
            </w:r>
            <w:r w:rsidR="00570DC3">
              <w:rPr>
                <w:sz w:val="24"/>
                <w:szCs w:val="24"/>
              </w:rPr>
              <w:t>lan in place</w:t>
            </w:r>
            <w:r w:rsidR="002B12AF">
              <w:rPr>
                <w:sz w:val="24"/>
                <w:szCs w:val="24"/>
              </w:rPr>
              <w:t xml:space="preserve">, including identification </w:t>
            </w:r>
            <w:r w:rsidR="00C54D69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dedicated</w:t>
            </w:r>
            <w:r w:rsidR="00C54D69">
              <w:rPr>
                <w:sz w:val="24"/>
                <w:szCs w:val="24"/>
              </w:rPr>
              <w:t xml:space="preserve"> personnel</w:t>
            </w:r>
            <w:r w:rsidR="000E51A9">
              <w:rPr>
                <w:sz w:val="24"/>
                <w:szCs w:val="24"/>
              </w:rPr>
              <w:t xml:space="preserve"> to </w:t>
            </w:r>
            <w:r w:rsidR="00CD2685">
              <w:rPr>
                <w:sz w:val="24"/>
                <w:szCs w:val="24"/>
              </w:rPr>
              <w:t xml:space="preserve">be trained in administering </w:t>
            </w:r>
            <w:r w:rsidR="000E51A9">
              <w:rPr>
                <w:sz w:val="24"/>
                <w:szCs w:val="24"/>
              </w:rPr>
              <w:t>medication</w:t>
            </w:r>
            <w:r w:rsidR="00C54D69">
              <w:rPr>
                <w:sz w:val="24"/>
                <w:szCs w:val="24"/>
              </w:rPr>
              <w:t>; referred to House Healthcare and Wellness Committee</w:t>
            </w:r>
            <w:r>
              <w:rPr>
                <w:sz w:val="24"/>
                <w:szCs w:val="24"/>
              </w:rPr>
              <w:t>, “do pass” recommendation to Appropriations</w:t>
            </w:r>
            <w:r w:rsidR="002E0AD0">
              <w:rPr>
                <w:sz w:val="24"/>
                <w:szCs w:val="24"/>
              </w:rPr>
              <w:t xml:space="preserve">; </w:t>
            </w:r>
            <w:r w:rsidR="00F65B09">
              <w:rPr>
                <w:sz w:val="24"/>
                <w:szCs w:val="24"/>
              </w:rPr>
              <w:t>testimony included a UW person who indicated that free online training was available at the UW website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4F553F" w:rsidRDefault="0017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1084</w:t>
            </w:r>
          </w:p>
        </w:tc>
        <w:tc>
          <w:tcPr>
            <w:tcW w:w="5232" w:type="dxa"/>
          </w:tcPr>
          <w:p w:rsidR="001750A3" w:rsidRPr="004F553F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Compensation for Athletes</w:t>
            </w:r>
            <w:r w:rsidR="007007DE">
              <w:rPr>
                <w:sz w:val="24"/>
                <w:szCs w:val="24"/>
              </w:rPr>
              <w:t>: student athletes can be compensated for the use of their image or likeness</w:t>
            </w:r>
            <w:r w:rsidR="00C54D69">
              <w:rPr>
                <w:sz w:val="24"/>
                <w:szCs w:val="24"/>
              </w:rPr>
              <w:t>, and can have agents; attempts by athletic organizations to penalize athletes or colleges will be in violation of state trade and commerce laws</w:t>
            </w:r>
          </w:p>
        </w:tc>
        <w:tc>
          <w:tcPr>
            <w:tcW w:w="1170" w:type="dxa"/>
          </w:tcPr>
          <w:p w:rsidR="001750A3" w:rsidRDefault="00E7686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7200" w:type="dxa"/>
          </w:tcPr>
          <w:p w:rsidR="001750A3" w:rsidRDefault="00C54D69" w:rsidP="0087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universities </w:t>
            </w:r>
            <w:r w:rsidR="00570DC3">
              <w:rPr>
                <w:sz w:val="24"/>
                <w:szCs w:val="24"/>
              </w:rPr>
              <w:t xml:space="preserve">oppose this strongly because it runs afoul of rules of NCAA amateurism; </w:t>
            </w:r>
            <w:r>
              <w:rPr>
                <w:sz w:val="24"/>
                <w:szCs w:val="24"/>
              </w:rPr>
              <w:t xml:space="preserve">EOU, WSU and UW testified to that effect; </w:t>
            </w:r>
            <w:r w:rsidR="00570DC3">
              <w:rPr>
                <w:sz w:val="24"/>
                <w:szCs w:val="24"/>
              </w:rPr>
              <w:t>we have the same concerns</w:t>
            </w:r>
            <w:r w:rsidR="002B12AF">
              <w:rPr>
                <w:sz w:val="24"/>
                <w:szCs w:val="24"/>
              </w:rPr>
              <w:t xml:space="preserve">; </w:t>
            </w:r>
            <w:r w:rsidR="0087421E">
              <w:rPr>
                <w:sz w:val="24"/>
                <w:szCs w:val="24"/>
              </w:rPr>
              <w:t>no executive action taken yet, remains in College &amp; Workforce Development Committee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4F553F" w:rsidRDefault="0017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1123</w:t>
            </w:r>
          </w:p>
        </w:tc>
        <w:tc>
          <w:tcPr>
            <w:tcW w:w="5232" w:type="dxa"/>
          </w:tcPr>
          <w:p w:rsidR="001750A3" w:rsidRPr="004F553F" w:rsidRDefault="001750A3" w:rsidP="00244E2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CTC Tuition Waiver Program</w:t>
            </w:r>
            <w:r w:rsidR="00A854F2">
              <w:rPr>
                <w:sz w:val="24"/>
                <w:szCs w:val="24"/>
              </w:rPr>
              <w:t>: waive</w:t>
            </w:r>
            <w:r w:rsidR="00E7686C">
              <w:rPr>
                <w:sz w:val="24"/>
                <w:szCs w:val="24"/>
              </w:rPr>
              <w:t>s tuition for the first two years in a community or technical college if seeking a certificate or degree</w:t>
            </w:r>
          </w:p>
        </w:tc>
        <w:tc>
          <w:tcPr>
            <w:tcW w:w="1170" w:type="dxa"/>
          </w:tcPr>
          <w:p w:rsidR="001750A3" w:rsidRDefault="00E7686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6D1B3D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54D69">
              <w:rPr>
                <w:sz w:val="24"/>
                <w:szCs w:val="24"/>
              </w:rPr>
              <w:t xml:space="preserve"> pilot for 5 cities or counties, full funding of SNG at 100% of M</w:t>
            </w:r>
            <w:r w:rsidR="002B12AF">
              <w:rPr>
                <w:sz w:val="24"/>
                <w:szCs w:val="24"/>
              </w:rPr>
              <w:t xml:space="preserve">edian Family Income (MFI) </w:t>
            </w:r>
            <w:r w:rsidR="007D259E">
              <w:rPr>
                <w:sz w:val="24"/>
                <w:szCs w:val="24"/>
              </w:rPr>
              <w:t>(Washington Promise)</w:t>
            </w:r>
            <w:r w:rsidR="00B85F7C">
              <w:rPr>
                <w:sz w:val="24"/>
                <w:szCs w:val="24"/>
              </w:rPr>
              <w:t>; no executive action taken yet, remains in College/Workforce Development Committee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4F553F" w:rsidRDefault="0017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1164</w:t>
            </w:r>
          </w:p>
        </w:tc>
        <w:tc>
          <w:tcPr>
            <w:tcW w:w="5232" w:type="dxa"/>
          </w:tcPr>
          <w:p w:rsidR="001750A3" w:rsidRPr="00774325" w:rsidRDefault="001750A3" w:rsidP="004F553F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Dual Credit Programs</w:t>
            </w:r>
            <w:r w:rsidR="00E7686C">
              <w:rPr>
                <w:sz w:val="24"/>
                <w:szCs w:val="24"/>
              </w:rPr>
              <w:t>: revises dual credit provisions, including increasing funding for College in the High School from 10 to 15 credits</w:t>
            </w:r>
          </w:p>
        </w:tc>
        <w:tc>
          <w:tcPr>
            <w:tcW w:w="1170" w:type="dxa"/>
          </w:tcPr>
          <w:p w:rsidR="001750A3" w:rsidRDefault="00E7686C" w:rsidP="004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B85F7C" w:rsidP="004F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testified in support at 1/28/19 public hearing in Committee on Education; no executive action taken yet, remains in committee of origin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4F553F" w:rsidRDefault="0017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1178</w:t>
            </w:r>
          </w:p>
        </w:tc>
        <w:tc>
          <w:tcPr>
            <w:tcW w:w="5232" w:type="dxa"/>
          </w:tcPr>
          <w:p w:rsidR="001750A3" w:rsidRPr="00774325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Veteran Tuition Waivers</w:t>
            </w:r>
            <w:r w:rsidR="00E7686C">
              <w:rPr>
                <w:sz w:val="24"/>
                <w:szCs w:val="24"/>
              </w:rPr>
              <w:t>: revises definition of eligible veteran or national guardsperson for tuition waivers, can receive a general discharge under honorable conditions</w:t>
            </w:r>
            <w:r w:rsidR="002B12AF">
              <w:rPr>
                <w:sz w:val="24"/>
                <w:szCs w:val="24"/>
              </w:rPr>
              <w:t xml:space="preserve"> (currently must have an honorable discharge)</w:t>
            </w:r>
          </w:p>
        </w:tc>
        <w:tc>
          <w:tcPr>
            <w:tcW w:w="1170" w:type="dxa"/>
          </w:tcPr>
          <w:p w:rsidR="001750A3" w:rsidRPr="00774325" w:rsidRDefault="00E7686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Pr="00774325" w:rsidRDefault="00A47A42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testified in support at 1/23/19 public hearing; “do pass” recommendation to Appropriations on 1/29/19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4F553F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HB 1201</w:t>
            </w:r>
          </w:p>
        </w:tc>
        <w:tc>
          <w:tcPr>
            <w:tcW w:w="5232" w:type="dxa"/>
          </w:tcPr>
          <w:p w:rsidR="001750A3" w:rsidRPr="004F553F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National Guard Education Grants</w:t>
            </w:r>
            <w:r w:rsidR="00E7686C">
              <w:rPr>
                <w:sz w:val="24"/>
                <w:szCs w:val="24"/>
              </w:rPr>
              <w:t>: creates last-dollar grant program for national guardspersons</w:t>
            </w:r>
          </w:p>
        </w:tc>
        <w:tc>
          <w:tcPr>
            <w:tcW w:w="1170" w:type="dxa"/>
          </w:tcPr>
          <w:p w:rsidR="001750A3" w:rsidRDefault="00E7686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7D59B0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testified in support in Committee on Housing, Community Development, and Veterans on 1/30/19; “do pass” recommendation to Appropriations on 2/1/19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4F553F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1278</w:t>
            </w:r>
          </w:p>
        </w:tc>
        <w:tc>
          <w:tcPr>
            <w:tcW w:w="5232" w:type="dxa"/>
          </w:tcPr>
          <w:p w:rsidR="001750A3" w:rsidRPr="00774325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College Bound Scholar Room and Board</w:t>
            </w:r>
            <w:r w:rsidR="00E7686C">
              <w:rPr>
                <w:sz w:val="24"/>
                <w:szCs w:val="24"/>
              </w:rPr>
              <w:t>: waives housing costs for homeless College Bound Scholars</w:t>
            </w:r>
            <w:r w:rsidR="007E2305">
              <w:rPr>
                <w:sz w:val="24"/>
                <w:szCs w:val="24"/>
              </w:rPr>
              <w:t xml:space="preserve"> for 1 year</w:t>
            </w:r>
          </w:p>
        </w:tc>
        <w:tc>
          <w:tcPr>
            <w:tcW w:w="1170" w:type="dxa"/>
          </w:tcPr>
          <w:p w:rsidR="001750A3" w:rsidRPr="00774325" w:rsidRDefault="00E7686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with concerns</w:t>
            </w:r>
          </w:p>
        </w:tc>
        <w:tc>
          <w:tcPr>
            <w:tcW w:w="7200" w:type="dxa"/>
          </w:tcPr>
          <w:p w:rsidR="001750A3" w:rsidRPr="00774325" w:rsidRDefault="00D60F03" w:rsidP="007E2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“do pass” recommendation from College/Workforce Development Committee, unclear which committee referred to</w:t>
            </w:r>
          </w:p>
        </w:tc>
      </w:tr>
      <w:tr w:rsidR="00DB0CEC" w:rsidRPr="004F553F" w:rsidTr="00B443F4">
        <w:tc>
          <w:tcPr>
            <w:tcW w:w="703" w:type="dxa"/>
          </w:tcPr>
          <w:p w:rsidR="00DB0CEC" w:rsidRDefault="00DB0CE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1300</w:t>
            </w:r>
          </w:p>
        </w:tc>
        <w:tc>
          <w:tcPr>
            <w:tcW w:w="5232" w:type="dxa"/>
          </w:tcPr>
          <w:p w:rsidR="00DB0CEC" w:rsidRDefault="00B443F4" w:rsidP="00B443F4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Appropriations Bill</w:t>
            </w:r>
            <w:r>
              <w:rPr>
                <w:sz w:val="24"/>
                <w:szCs w:val="24"/>
              </w:rPr>
              <w:t>: f</w:t>
            </w:r>
            <w:r w:rsidR="002B12AF">
              <w:rPr>
                <w:sz w:val="24"/>
                <w:szCs w:val="24"/>
              </w:rPr>
              <w:t xml:space="preserve">unds 125 counselors at </w:t>
            </w:r>
            <w:r w:rsidR="00DB0CEC">
              <w:rPr>
                <w:sz w:val="24"/>
                <w:szCs w:val="24"/>
              </w:rPr>
              <w:t>900:1 ratio</w:t>
            </w:r>
            <w:r w:rsidR="002B12AF">
              <w:rPr>
                <w:sz w:val="24"/>
                <w:szCs w:val="24"/>
              </w:rPr>
              <w:t xml:space="preserve"> (see HB 1355)</w:t>
            </w:r>
            <w:r w:rsidR="00DB0CEC">
              <w:rPr>
                <w:sz w:val="24"/>
                <w:szCs w:val="24"/>
              </w:rPr>
              <w:t>, creates EDI office, increases faculty and staff pay, converts part-time instr</w:t>
            </w:r>
            <w:r w:rsidR="002B12AF">
              <w:rPr>
                <w:sz w:val="24"/>
                <w:szCs w:val="24"/>
              </w:rPr>
              <w:t>uction positions into full—time</w:t>
            </w:r>
            <w:r w:rsidR="00DB0CEC">
              <w:rPr>
                <w:sz w:val="24"/>
                <w:szCs w:val="24"/>
              </w:rPr>
              <w:t>; $500M/biennium</w:t>
            </w:r>
            <w:r w:rsidR="009255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added to CTC regular</w:t>
            </w:r>
            <w:r w:rsidR="00DB0CEC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1170" w:type="dxa"/>
          </w:tcPr>
          <w:p w:rsidR="00DB0CEC" w:rsidRDefault="00DB0CE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DB0CEC" w:rsidRDefault="007E2305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hearing held 1/29/19, no executive action taken yet in College/Workforce Education Committee</w:t>
            </w:r>
          </w:p>
        </w:tc>
      </w:tr>
      <w:tr w:rsidR="00814B9A" w:rsidRPr="004F553F" w:rsidTr="00B443F4">
        <w:tc>
          <w:tcPr>
            <w:tcW w:w="703" w:type="dxa"/>
          </w:tcPr>
          <w:p w:rsidR="00814B9A" w:rsidRDefault="00814B9A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SHB 1311</w:t>
            </w:r>
          </w:p>
        </w:tc>
        <w:tc>
          <w:tcPr>
            <w:tcW w:w="5232" w:type="dxa"/>
          </w:tcPr>
          <w:p w:rsidR="00814B9A" w:rsidRDefault="00814B9A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College Bound Scholarship</w:t>
            </w:r>
            <w:r>
              <w:rPr>
                <w:sz w:val="24"/>
                <w:szCs w:val="24"/>
              </w:rPr>
              <w:t xml:space="preserve">: </w:t>
            </w:r>
            <w:r w:rsidR="00276681">
              <w:rPr>
                <w:sz w:val="24"/>
                <w:szCs w:val="24"/>
              </w:rPr>
              <w:t>Expands eligibility to 9</w:t>
            </w:r>
            <w:r w:rsidR="00276681" w:rsidRPr="00814B9A">
              <w:rPr>
                <w:sz w:val="24"/>
                <w:szCs w:val="24"/>
                <w:vertAlign w:val="superscript"/>
              </w:rPr>
              <w:t>th</w:t>
            </w:r>
            <w:r w:rsidR="00276681">
              <w:rPr>
                <w:sz w:val="24"/>
                <w:szCs w:val="24"/>
              </w:rPr>
              <w:t xml:space="preserve"> and 10</w:t>
            </w:r>
            <w:r w:rsidR="00276681" w:rsidRPr="00814B9A">
              <w:rPr>
                <w:sz w:val="24"/>
                <w:szCs w:val="24"/>
                <w:vertAlign w:val="superscript"/>
              </w:rPr>
              <w:t>th</w:t>
            </w:r>
            <w:r w:rsidR="00276681">
              <w:rPr>
                <w:sz w:val="24"/>
                <w:szCs w:val="24"/>
              </w:rPr>
              <w:t xml:space="preserve"> graders if family income declines and makes them eligible; also allows SNG for CBS students at 100% MFI</w:t>
            </w:r>
          </w:p>
        </w:tc>
        <w:tc>
          <w:tcPr>
            <w:tcW w:w="1170" w:type="dxa"/>
          </w:tcPr>
          <w:p w:rsidR="00814B9A" w:rsidRDefault="00814B9A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814B9A" w:rsidRDefault="00814B9A" w:rsidP="005A6A4A">
            <w:pPr>
              <w:rPr>
                <w:sz w:val="24"/>
                <w:szCs w:val="24"/>
              </w:rPr>
            </w:pP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1340</w:t>
            </w:r>
          </w:p>
        </w:tc>
        <w:tc>
          <w:tcPr>
            <w:tcW w:w="5232" w:type="dxa"/>
          </w:tcPr>
          <w:p w:rsidR="001750A3" w:rsidRPr="00774325" w:rsidRDefault="007D259E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 xml:space="preserve">Washington </w:t>
            </w:r>
            <w:r w:rsidR="001750A3" w:rsidRPr="00B443F4">
              <w:rPr>
                <w:b/>
                <w:sz w:val="24"/>
                <w:szCs w:val="24"/>
              </w:rPr>
              <w:t>College Promise Scholarship</w:t>
            </w:r>
            <w:r w:rsidR="00E7686C">
              <w:rPr>
                <w:sz w:val="24"/>
                <w:szCs w:val="24"/>
              </w:rPr>
              <w:t>: fully funds State Need Grant</w:t>
            </w:r>
          </w:p>
        </w:tc>
        <w:tc>
          <w:tcPr>
            <w:tcW w:w="1170" w:type="dxa"/>
          </w:tcPr>
          <w:p w:rsidR="001750A3" w:rsidRDefault="00E7686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D3262B" w:rsidP="006D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D259E">
              <w:rPr>
                <w:sz w:val="24"/>
                <w:szCs w:val="24"/>
              </w:rPr>
              <w:t>eplaces SNG and fully funds it, creating an entitlement for eligible students; adds apprenticeship eligibility</w:t>
            </w:r>
            <w:r w:rsidR="00CE2996">
              <w:rPr>
                <w:sz w:val="24"/>
                <w:szCs w:val="24"/>
              </w:rPr>
              <w:t>; “do pass” recommendation on substitute bill, goes to Appropriations next</w:t>
            </w:r>
            <w:r w:rsidR="0061602F">
              <w:rPr>
                <w:sz w:val="24"/>
                <w:szCs w:val="24"/>
              </w:rPr>
              <w:t xml:space="preserve">; substitute </w:t>
            </w:r>
            <w:r w:rsidR="00276681">
              <w:rPr>
                <w:sz w:val="24"/>
                <w:szCs w:val="24"/>
              </w:rPr>
              <w:t>bill</w:t>
            </w:r>
            <w:r w:rsidR="00276681">
              <w:rPr>
                <w:rFonts w:eastAsia="Times New Roman"/>
              </w:rPr>
              <w:t xml:space="preserve"> </w:t>
            </w:r>
            <w:r w:rsidR="0061602F" w:rsidRPr="00AD2F7D">
              <w:rPr>
                <w:rFonts w:eastAsia="Times New Roman"/>
                <w:sz w:val="24"/>
                <w:szCs w:val="24"/>
              </w:rPr>
              <w:t>added two additional qualifications for eligibility: (1) a student needs to file an annual financial aid application; and (2) must not already hav</w:t>
            </w:r>
            <w:r w:rsidR="006D1B3D">
              <w:rPr>
                <w:rFonts w:eastAsia="Times New Roman"/>
                <w:sz w:val="24"/>
                <w:szCs w:val="24"/>
              </w:rPr>
              <w:t>e a bachelor's degree or higher; i</w:t>
            </w:r>
            <w:r w:rsidR="0061602F" w:rsidRPr="00AD2F7D">
              <w:rPr>
                <w:rFonts w:eastAsia="Times New Roman"/>
                <w:sz w:val="24"/>
                <w:szCs w:val="24"/>
              </w:rPr>
              <w:t>nstitutions are required to award all need-based financial aid for which a student qualifies, as determined by the institution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1355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CTC Counselor Staffing Ratio</w:t>
            </w:r>
            <w:r w:rsidR="00E7686C">
              <w:rPr>
                <w:sz w:val="24"/>
                <w:szCs w:val="24"/>
              </w:rPr>
              <w:t>: requires 900:1 ratio of student headcount to counselor FTE</w:t>
            </w:r>
            <w:r w:rsidR="00106315">
              <w:rPr>
                <w:sz w:val="24"/>
                <w:szCs w:val="24"/>
              </w:rPr>
              <w:t>, establishing minimum credential criteria</w:t>
            </w:r>
            <w:r w:rsidR="007D259E">
              <w:rPr>
                <w:sz w:val="24"/>
                <w:szCs w:val="24"/>
              </w:rPr>
              <w:t xml:space="preserve"> (masters in counseling, practicum and internship, specific coursework)</w:t>
            </w:r>
          </w:p>
        </w:tc>
        <w:tc>
          <w:tcPr>
            <w:tcW w:w="1170" w:type="dxa"/>
          </w:tcPr>
          <w:p w:rsidR="001750A3" w:rsidRDefault="00F10B6D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Neutral </w:t>
            </w:r>
            <w:r w:rsidR="00E7686C">
              <w:rPr>
                <w:sz w:val="24"/>
                <w:szCs w:val="24"/>
              </w:rPr>
              <w:t>with concerns</w:t>
            </w:r>
          </w:p>
        </w:tc>
        <w:tc>
          <w:tcPr>
            <w:tcW w:w="7200" w:type="dxa"/>
          </w:tcPr>
          <w:p w:rsidR="001750A3" w:rsidRDefault="007D259E" w:rsidP="00D8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Concerns </w:t>
            </w:r>
            <w:r w:rsidR="006D1B3D">
              <w:rPr>
                <w:sz w:val="24"/>
                <w:szCs w:val="24"/>
              </w:rPr>
              <w:t xml:space="preserve">with </w:t>
            </w:r>
            <w:r w:rsidR="00D86EA6">
              <w:rPr>
                <w:sz w:val="24"/>
                <w:szCs w:val="24"/>
              </w:rPr>
              <w:t>costs--</w:t>
            </w:r>
            <w:r w:rsidR="00570DC3">
              <w:rPr>
                <w:sz w:val="24"/>
                <w:szCs w:val="24"/>
              </w:rPr>
              <w:t xml:space="preserve">currently no appropriation tied </w:t>
            </w:r>
            <w:r w:rsidR="006D1B3D">
              <w:rPr>
                <w:sz w:val="24"/>
                <w:szCs w:val="24"/>
              </w:rPr>
              <w:t xml:space="preserve">to </w:t>
            </w:r>
            <w:r w:rsidR="00570DC3">
              <w:rPr>
                <w:sz w:val="24"/>
                <w:szCs w:val="24"/>
              </w:rPr>
              <w:t>bill</w:t>
            </w:r>
            <w:r>
              <w:rPr>
                <w:sz w:val="24"/>
                <w:szCs w:val="24"/>
              </w:rPr>
              <w:t>; fiscal is $21M for 267 counselors (full headcount) or $11M (state headcount); applies to state-funded positions only</w:t>
            </w:r>
            <w:r w:rsidR="002B12AF">
              <w:rPr>
                <w:sz w:val="24"/>
                <w:szCs w:val="24"/>
              </w:rPr>
              <w:t>; HB 1300 provides partial funding but continues to specify “counselors”</w:t>
            </w:r>
            <w:r w:rsidR="007E2305">
              <w:rPr>
                <w:sz w:val="24"/>
                <w:szCs w:val="24"/>
              </w:rPr>
              <w:t xml:space="preserve">; public hearing held 1/29/19, </w:t>
            </w:r>
            <w:r w:rsidR="006D1B3D">
              <w:rPr>
                <w:sz w:val="24"/>
                <w:szCs w:val="24"/>
              </w:rPr>
              <w:t>testimony</w:t>
            </w:r>
            <w:r w:rsidR="008D2080">
              <w:rPr>
                <w:sz w:val="24"/>
                <w:szCs w:val="24"/>
              </w:rPr>
              <w:t xml:space="preserve"> from President Stokes and Deputy Director Boesenberg with concerns; </w:t>
            </w:r>
            <w:r w:rsidR="006D1B3D">
              <w:rPr>
                <w:sz w:val="24"/>
                <w:szCs w:val="24"/>
              </w:rPr>
              <w:t>scheduled for Executive Action 2/19/19; substitute bill in development would create a taskforce to study the issue rather than implement a ratio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HB 1455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Aeronautics Industry</w:t>
            </w:r>
            <w:r w:rsidR="00106315">
              <w:rPr>
                <w:sz w:val="24"/>
                <w:szCs w:val="24"/>
              </w:rPr>
              <w:t>:</w:t>
            </w:r>
            <w:r w:rsidR="00B443F4">
              <w:rPr>
                <w:sz w:val="24"/>
                <w:szCs w:val="24"/>
              </w:rPr>
              <w:t xml:space="preserve"> creates loan/l</w:t>
            </w:r>
            <w:r w:rsidR="000874D7">
              <w:rPr>
                <w:sz w:val="24"/>
                <w:szCs w:val="24"/>
              </w:rPr>
              <w:t>oan fo</w:t>
            </w:r>
            <w:r w:rsidR="00B443F4">
              <w:rPr>
                <w:sz w:val="24"/>
                <w:szCs w:val="24"/>
              </w:rPr>
              <w:t>rgiveness program to incent</w:t>
            </w:r>
            <w:r w:rsidR="000874D7">
              <w:rPr>
                <w:sz w:val="24"/>
                <w:szCs w:val="24"/>
              </w:rPr>
              <w:t xml:space="preserve"> enrollment of Washington resi</w:t>
            </w:r>
            <w:r w:rsidR="00B443F4">
              <w:rPr>
                <w:sz w:val="24"/>
                <w:szCs w:val="24"/>
              </w:rPr>
              <w:t>dents in high demand</w:t>
            </w:r>
            <w:r w:rsidR="000874D7">
              <w:rPr>
                <w:sz w:val="24"/>
                <w:szCs w:val="24"/>
              </w:rPr>
              <w:t xml:space="preserve"> programs</w:t>
            </w:r>
          </w:p>
        </w:tc>
        <w:tc>
          <w:tcPr>
            <w:tcW w:w="1170" w:type="dxa"/>
          </w:tcPr>
          <w:p w:rsidR="001750A3" w:rsidRDefault="00284089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200" w:type="dxa"/>
          </w:tcPr>
          <w:p w:rsidR="001750A3" w:rsidRDefault="005235FD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hearing held in College/Workforce Development Committee on 1/30/19; no executive action yet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1459</w:t>
            </w:r>
          </w:p>
        </w:tc>
        <w:tc>
          <w:tcPr>
            <w:tcW w:w="5232" w:type="dxa"/>
          </w:tcPr>
          <w:p w:rsidR="001750A3" w:rsidRDefault="001750A3" w:rsidP="00B443F4">
            <w:pPr>
              <w:tabs>
                <w:tab w:val="center" w:pos="3408"/>
              </w:tabs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Running Start Summer Pilot</w:t>
            </w:r>
            <w:r w:rsidR="00106315">
              <w:rPr>
                <w:sz w:val="24"/>
                <w:szCs w:val="24"/>
              </w:rPr>
              <w:t>:</w:t>
            </w:r>
            <w:r w:rsidR="000874D7">
              <w:rPr>
                <w:sz w:val="24"/>
                <w:szCs w:val="24"/>
              </w:rPr>
              <w:t xml:space="preserve"> </w:t>
            </w:r>
            <w:r w:rsidR="000874D7" w:rsidRPr="000874D7">
              <w:rPr>
                <w:sz w:val="24"/>
                <w:szCs w:val="24"/>
              </w:rPr>
              <w:t>student</w:t>
            </w:r>
            <w:r w:rsidR="000874D7">
              <w:rPr>
                <w:sz w:val="24"/>
                <w:szCs w:val="24"/>
              </w:rPr>
              <w:t>s completing</w:t>
            </w:r>
            <w:r w:rsidR="000874D7" w:rsidRPr="000874D7">
              <w:rPr>
                <w:sz w:val="24"/>
                <w:szCs w:val="24"/>
              </w:rPr>
              <w:t xml:space="preserve"> </w:t>
            </w:r>
            <w:r w:rsidR="000874D7">
              <w:rPr>
                <w:sz w:val="24"/>
                <w:szCs w:val="24"/>
              </w:rPr>
              <w:t xml:space="preserve">grade ten or eleven and </w:t>
            </w:r>
            <w:r w:rsidR="000874D7" w:rsidRPr="000874D7">
              <w:rPr>
                <w:sz w:val="24"/>
                <w:szCs w:val="24"/>
              </w:rPr>
              <w:t xml:space="preserve">eligible to enroll in grade eleven or twelve </w:t>
            </w:r>
            <w:r w:rsidR="000874D7">
              <w:rPr>
                <w:sz w:val="24"/>
                <w:szCs w:val="24"/>
              </w:rPr>
              <w:t>will be able</w:t>
            </w:r>
            <w:r w:rsidR="000874D7" w:rsidRPr="000874D7">
              <w:rPr>
                <w:sz w:val="24"/>
                <w:szCs w:val="24"/>
              </w:rPr>
              <w:t xml:space="preserve"> to </w:t>
            </w:r>
            <w:r w:rsidR="000874D7">
              <w:rPr>
                <w:sz w:val="24"/>
                <w:szCs w:val="24"/>
              </w:rPr>
              <w:t xml:space="preserve">enroll in </w:t>
            </w:r>
            <w:r w:rsidR="000874D7" w:rsidRPr="000874D7">
              <w:rPr>
                <w:sz w:val="24"/>
                <w:szCs w:val="24"/>
              </w:rPr>
              <w:t xml:space="preserve">courses or programs offered by </w:t>
            </w:r>
            <w:r w:rsidR="000874D7">
              <w:rPr>
                <w:sz w:val="24"/>
                <w:szCs w:val="24"/>
              </w:rPr>
              <w:t xml:space="preserve">colleges during summer </w:t>
            </w:r>
            <w:r w:rsidR="00B443F4">
              <w:rPr>
                <w:sz w:val="24"/>
                <w:szCs w:val="24"/>
              </w:rPr>
              <w:t>term</w:t>
            </w:r>
          </w:p>
        </w:tc>
        <w:tc>
          <w:tcPr>
            <w:tcW w:w="1170" w:type="dxa"/>
          </w:tcPr>
          <w:p w:rsidR="001750A3" w:rsidRDefault="000874D7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253517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public hearing yet; referred to Education Committee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1542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State Student Loan Program</w:t>
            </w:r>
            <w:r w:rsidR="00106315">
              <w:rPr>
                <w:sz w:val="24"/>
                <w:szCs w:val="24"/>
              </w:rPr>
              <w:t>:</w:t>
            </w:r>
            <w:r w:rsidR="004B2030">
              <w:rPr>
                <w:sz w:val="24"/>
                <w:szCs w:val="24"/>
              </w:rPr>
              <w:t xml:space="preserve"> creates 1% interest loan program for resident students graduating from Washington high schools; funds program with increase in real estate excise tax</w:t>
            </w:r>
          </w:p>
        </w:tc>
        <w:tc>
          <w:tcPr>
            <w:tcW w:w="1170" w:type="dxa"/>
          </w:tcPr>
          <w:p w:rsidR="001750A3" w:rsidRDefault="00A903B6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200" w:type="dxa"/>
          </w:tcPr>
          <w:p w:rsidR="001750A3" w:rsidRDefault="009B50D9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College/Workforce Development Committee, scheduled for executive action week of 2/11/19</w:t>
            </w:r>
          </w:p>
        </w:tc>
      </w:tr>
      <w:tr w:rsidR="00D93EDD" w:rsidRPr="004F553F" w:rsidTr="00B443F4">
        <w:tc>
          <w:tcPr>
            <w:tcW w:w="703" w:type="dxa"/>
          </w:tcPr>
          <w:p w:rsidR="00D93EDD" w:rsidRDefault="00D93EDD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1572</w:t>
            </w:r>
          </w:p>
        </w:tc>
        <w:tc>
          <w:tcPr>
            <w:tcW w:w="5232" w:type="dxa"/>
          </w:tcPr>
          <w:p w:rsidR="00D93EDD" w:rsidRDefault="00D93EDD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Pilot Student Homelessness Projects</w:t>
            </w:r>
            <w:r>
              <w:rPr>
                <w:sz w:val="24"/>
                <w:szCs w:val="24"/>
              </w:rPr>
              <w:t xml:space="preserve">: </w:t>
            </w:r>
            <w:r w:rsidRPr="00D93EDD">
              <w:rPr>
                <w:sz w:val="24"/>
                <w:szCs w:val="24"/>
              </w:rPr>
              <w:t>Establishes 4 CTC pilot programs, 2 colleges from the east side and 2 colleges from the west side of the state, to provide accom</w:t>
            </w:r>
            <w:r>
              <w:rPr>
                <w:sz w:val="24"/>
                <w:szCs w:val="24"/>
              </w:rPr>
              <w:t>m</w:t>
            </w:r>
            <w:r w:rsidRPr="00D93EDD">
              <w:rPr>
                <w:sz w:val="24"/>
                <w:szCs w:val="24"/>
              </w:rPr>
              <w:t>odations to students experiencing homelessness or students that were in the foster care system when they graduated HS. </w:t>
            </w:r>
          </w:p>
        </w:tc>
        <w:tc>
          <w:tcPr>
            <w:tcW w:w="1170" w:type="dxa"/>
          </w:tcPr>
          <w:p w:rsidR="00D93EDD" w:rsidRDefault="00D93EDD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with Concerns</w:t>
            </w:r>
          </w:p>
        </w:tc>
        <w:tc>
          <w:tcPr>
            <w:tcW w:w="7200" w:type="dxa"/>
          </w:tcPr>
          <w:p w:rsidR="00D93EDD" w:rsidRDefault="00D93EDD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“do pass” recommendation from College/Workforce Development Committee, destination committee unknown (possibly Appropriations); concerns about cost if no appropriation (our fiscal note is $548K for biennium)</w:t>
            </w:r>
          </w:p>
        </w:tc>
      </w:tr>
      <w:tr w:rsidR="00FB5C3B" w:rsidRPr="004F553F" w:rsidTr="00B443F4">
        <w:tc>
          <w:tcPr>
            <w:tcW w:w="703" w:type="dxa"/>
          </w:tcPr>
          <w:p w:rsidR="00FB5C3B" w:rsidRDefault="00FB5C3B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1688</w:t>
            </w:r>
          </w:p>
        </w:tc>
        <w:tc>
          <w:tcPr>
            <w:tcW w:w="5232" w:type="dxa"/>
          </w:tcPr>
          <w:p w:rsidR="00FB5C3B" w:rsidRDefault="00FB5C3B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Resident Student Veterans</w:t>
            </w:r>
            <w:r>
              <w:rPr>
                <w:sz w:val="24"/>
                <w:szCs w:val="24"/>
              </w:rPr>
              <w:t xml:space="preserve">: </w:t>
            </w:r>
            <w:r w:rsidRPr="00FB5C3B">
              <w:rPr>
                <w:sz w:val="24"/>
                <w:szCs w:val="24"/>
              </w:rPr>
              <w:t>Requires a student who is entitled to federal Vocational Rehabilitation and Employment Services benefits to receive in-state tuition at public higher education institutions.</w:t>
            </w:r>
          </w:p>
        </w:tc>
        <w:tc>
          <w:tcPr>
            <w:tcW w:w="1170" w:type="dxa"/>
          </w:tcPr>
          <w:p w:rsidR="00FB5C3B" w:rsidRDefault="00FB5C3B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FB5C3B" w:rsidRDefault="00FB5C3B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to Appropriations with “do pass” recommendation from College/Workforce Development Committee on 2/8/19</w:t>
            </w:r>
          </w:p>
        </w:tc>
      </w:tr>
      <w:tr w:rsidR="001E085A" w:rsidRPr="004F553F" w:rsidTr="00B443F4">
        <w:tc>
          <w:tcPr>
            <w:tcW w:w="703" w:type="dxa"/>
          </w:tcPr>
          <w:p w:rsidR="001E085A" w:rsidRDefault="001E085A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1735</w:t>
            </w:r>
          </w:p>
        </w:tc>
        <w:tc>
          <w:tcPr>
            <w:tcW w:w="5232" w:type="dxa"/>
          </w:tcPr>
          <w:p w:rsidR="001E085A" w:rsidRDefault="001E085A" w:rsidP="009933E0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Guided Pathways, Student Success Courses, and Behavioral Health</w:t>
            </w:r>
            <w:r>
              <w:rPr>
                <w:sz w:val="24"/>
                <w:szCs w:val="24"/>
              </w:rPr>
              <w:t xml:space="preserve">: </w:t>
            </w:r>
            <w:r w:rsidRPr="001E085A">
              <w:rPr>
                <w:sz w:val="24"/>
                <w:szCs w:val="24"/>
              </w:rPr>
              <w:t xml:space="preserve">HB 1735 would fully fund Guided Pathways at all of our colleges, but would also require all colleges to have a mandatory, evidence-based student success class for all new students in their first term. The bill would further require that those classes </w:t>
            </w:r>
            <w:proofErr w:type="gramStart"/>
            <w:r w:rsidRPr="001E085A">
              <w:rPr>
                <w:sz w:val="24"/>
                <w:szCs w:val="24"/>
              </w:rPr>
              <w:t>be approved</w:t>
            </w:r>
            <w:proofErr w:type="gramEnd"/>
            <w:r w:rsidRPr="001E085A">
              <w:rPr>
                <w:sz w:val="24"/>
                <w:szCs w:val="24"/>
              </w:rPr>
              <w:t xml:space="preserve"> by SBCTC, in consultation with WSAC and organizations with expertise in this area. After 3 years, SBCTC would be required to contract with an evaluator with expertise in this area, to evaluate the “efficacy” of </w:t>
            </w:r>
            <w:r w:rsidRPr="001E085A">
              <w:rPr>
                <w:sz w:val="24"/>
                <w:szCs w:val="24"/>
              </w:rPr>
              <w:lastRenderedPageBreak/>
              <w:t xml:space="preserve">the course. The bill appropriates $37M each year of the 2019-21 biennium to do this, or roughly $1M per college. The bill also mandates – subject to funds available – that we contract with a behavioral health expert organization to develop a plan to expand behavioral health services, and requires that suicide hotline and other information </w:t>
            </w:r>
            <w:proofErr w:type="gramStart"/>
            <w:r w:rsidRPr="001E085A">
              <w:rPr>
                <w:sz w:val="24"/>
                <w:szCs w:val="24"/>
              </w:rPr>
              <w:t>be added</w:t>
            </w:r>
            <w:proofErr w:type="gramEnd"/>
            <w:r w:rsidRPr="001E085A">
              <w:rPr>
                <w:sz w:val="24"/>
                <w:szCs w:val="24"/>
              </w:rPr>
              <w:t xml:space="preserve"> to all newly issued student ID cards “to the extent practical.”</w:t>
            </w:r>
          </w:p>
        </w:tc>
        <w:tc>
          <w:tcPr>
            <w:tcW w:w="1170" w:type="dxa"/>
          </w:tcPr>
          <w:p w:rsidR="001E085A" w:rsidRDefault="00D625E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Support with Concerns</w:t>
            </w:r>
          </w:p>
        </w:tc>
        <w:tc>
          <w:tcPr>
            <w:tcW w:w="7200" w:type="dxa"/>
          </w:tcPr>
          <w:p w:rsidR="001E085A" w:rsidRDefault="001E085A" w:rsidP="001B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 to IC and WSSSC Executive Co</w:t>
            </w:r>
            <w:r w:rsidR="001B51A7">
              <w:rPr>
                <w:sz w:val="24"/>
                <w:szCs w:val="24"/>
              </w:rPr>
              <w:t>mmittees for input ASAP 2/8/19; h</w:t>
            </w:r>
            <w:r>
              <w:rPr>
                <w:sz w:val="24"/>
                <w:szCs w:val="24"/>
              </w:rPr>
              <w:t xml:space="preserve">aving SBCTC approve the student </w:t>
            </w:r>
            <w:r w:rsidR="001B51A7">
              <w:rPr>
                <w:sz w:val="24"/>
                <w:szCs w:val="24"/>
              </w:rPr>
              <w:t xml:space="preserve">success courses is problematic; </w:t>
            </w:r>
            <w:r w:rsidR="005771AB">
              <w:rPr>
                <w:sz w:val="24"/>
                <w:szCs w:val="24"/>
              </w:rPr>
              <w:t xml:space="preserve">SBCTC staff </w:t>
            </w:r>
            <w:r w:rsidR="00D625E8">
              <w:rPr>
                <w:sz w:val="24"/>
                <w:szCs w:val="24"/>
              </w:rPr>
              <w:t xml:space="preserve">Arlen Harris and Carli Schiffner testified </w:t>
            </w:r>
            <w:r w:rsidR="0094241C">
              <w:rPr>
                <w:sz w:val="24"/>
                <w:szCs w:val="24"/>
              </w:rPr>
              <w:t xml:space="preserve">in House College and Workforce Development Committee on 2/12/19 </w:t>
            </w:r>
            <w:r w:rsidR="00D625E8">
              <w:rPr>
                <w:sz w:val="24"/>
                <w:szCs w:val="24"/>
              </w:rPr>
              <w:t xml:space="preserve">supporting the guided pathways funding and expressing concern about the mandatory nature of the student success classes and the State Board’s approval </w:t>
            </w:r>
            <w:r w:rsidR="005771AB">
              <w:rPr>
                <w:sz w:val="24"/>
                <w:szCs w:val="24"/>
              </w:rPr>
              <w:t xml:space="preserve">role; </w:t>
            </w:r>
            <w:r w:rsidR="001B51A7">
              <w:rPr>
                <w:sz w:val="24"/>
                <w:szCs w:val="24"/>
              </w:rPr>
              <w:t>no executive action scheduled currently</w:t>
            </w:r>
          </w:p>
        </w:tc>
      </w:tr>
      <w:tr w:rsidR="00837498" w:rsidRPr="004F553F" w:rsidTr="00B443F4">
        <w:tc>
          <w:tcPr>
            <w:tcW w:w="703" w:type="dxa"/>
          </w:tcPr>
          <w:p w:rsidR="00837498" w:rsidRDefault="0083749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1893</w:t>
            </w:r>
          </w:p>
        </w:tc>
        <w:tc>
          <w:tcPr>
            <w:tcW w:w="5232" w:type="dxa"/>
          </w:tcPr>
          <w:p w:rsidR="00837498" w:rsidRDefault="00837498" w:rsidP="001E085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Postsecondary Student Assistance</w:t>
            </w:r>
            <w:r>
              <w:rPr>
                <w:sz w:val="24"/>
                <w:szCs w:val="24"/>
              </w:rPr>
              <w:t>: creates Emergency Assistance Grant Program for students; SBCTC will establish eligibility criteria in partnership with DSHS</w:t>
            </w:r>
          </w:p>
        </w:tc>
        <w:tc>
          <w:tcPr>
            <w:tcW w:w="1170" w:type="dxa"/>
          </w:tcPr>
          <w:p w:rsidR="00837498" w:rsidRDefault="0083749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837498" w:rsidRDefault="0083749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SBCTC staff Erin Frasier testified in support at public hearing of College/Workforce Development Committee on 2/13/19; executive action scheduled during the week of 2/18/19</w:t>
            </w:r>
          </w:p>
        </w:tc>
      </w:tr>
      <w:tr w:rsidR="009933E0" w:rsidRPr="004F553F" w:rsidTr="00B443F4">
        <w:tc>
          <w:tcPr>
            <w:tcW w:w="703" w:type="dxa"/>
          </w:tcPr>
          <w:p w:rsidR="009933E0" w:rsidRDefault="009933E0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1950</w:t>
            </w:r>
          </w:p>
        </w:tc>
        <w:tc>
          <w:tcPr>
            <w:tcW w:w="5232" w:type="dxa"/>
          </w:tcPr>
          <w:p w:rsidR="009933E0" w:rsidRDefault="009933E0" w:rsidP="001E085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Free to Finish</w:t>
            </w:r>
            <w:r>
              <w:rPr>
                <w:sz w:val="24"/>
                <w:szCs w:val="24"/>
              </w:rPr>
              <w:t>: appropriates funding for last 15 credits</w:t>
            </w:r>
          </w:p>
        </w:tc>
        <w:tc>
          <w:tcPr>
            <w:tcW w:w="1170" w:type="dxa"/>
          </w:tcPr>
          <w:p w:rsidR="009933E0" w:rsidRDefault="009933E0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9933E0" w:rsidRDefault="00D725EF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SBCTC registered support for the bill at the Public Hearing in House College and Workforce Development Committee on 2/13/19</w:t>
            </w:r>
          </w:p>
        </w:tc>
      </w:tr>
      <w:tr w:rsidR="00E51C34" w:rsidRPr="004F553F" w:rsidTr="00B443F4">
        <w:tc>
          <w:tcPr>
            <w:tcW w:w="703" w:type="dxa"/>
          </w:tcPr>
          <w:p w:rsidR="00E51C34" w:rsidRDefault="00E51C34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1973</w:t>
            </w:r>
          </w:p>
        </w:tc>
        <w:tc>
          <w:tcPr>
            <w:tcW w:w="5232" w:type="dxa"/>
          </w:tcPr>
          <w:p w:rsidR="00E51C34" w:rsidRDefault="00E51C34" w:rsidP="00E51C34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Dual Credit Scholarship</w:t>
            </w:r>
            <w:r>
              <w:rPr>
                <w:sz w:val="24"/>
                <w:szCs w:val="24"/>
              </w:rPr>
              <w:t>: SBCTC in co</w:t>
            </w:r>
            <w:r w:rsidRPr="00E51C34">
              <w:rPr>
                <w:sz w:val="24"/>
                <w:szCs w:val="24"/>
              </w:rPr>
              <w:t>nsultation with OSPI shall create the dual credit scholar</w:t>
            </w:r>
            <w:r>
              <w:rPr>
                <w:sz w:val="24"/>
                <w:szCs w:val="24"/>
              </w:rPr>
              <w:t xml:space="preserve">ship pilot program, </w:t>
            </w:r>
            <w:r w:rsidRPr="00E51C34">
              <w:rPr>
                <w:sz w:val="24"/>
                <w:szCs w:val="24"/>
              </w:rPr>
              <w:t>administe</w:t>
            </w:r>
            <w:r>
              <w:rPr>
                <w:sz w:val="24"/>
                <w:szCs w:val="24"/>
              </w:rPr>
              <w:t xml:space="preserve">r the program and adopt rules; eligible students must qualify for </w:t>
            </w:r>
            <w:r w:rsidRPr="00E51C34">
              <w:rPr>
                <w:sz w:val="24"/>
                <w:szCs w:val="24"/>
              </w:rPr>
              <w:t xml:space="preserve">free or reduced-price </w:t>
            </w:r>
            <w:r>
              <w:rPr>
                <w:sz w:val="24"/>
                <w:szCs w:val="24"/>
              </w:rPr>
              <w:t xml:space="preserve">lunch, be </w:t>
            </w:r>
            <w:r w:rsidRPr="00E51C34">
              <w:rPr>
                <w:sz w:val="24"/>
                <w:szCs w:val="24"/>
              </w:rPr>
              <w:t xml:space="preserve">enrolled in </w:t>
            </w:r>
            <w:r>
              <w:rPr>
                <w:sz w:val="24"/>
                <w:szCs w:val="24"/>
              </w:rPr>
              <w:t>dual credit</w:t>
            </w:r>
            <w:r w:rsidRPr="00E51C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and have </w:t>
            </w:r>
            <w:r w:rsidRPr="00E51C3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minimum </w:t>
            </w:r>
            <w:r w:rsidRPr="00E51C34">
              <w:rPr>
                <w:sz w:val="24"/>
                <w:szCs w:val="24"/>
              </w:rPr>
              <w:t xml:space="preserve">2.0 </w:t>
            </w:r>
            <w:r>
              <w:rPr>
                <w:sz w:val="24"/>
                <w:szCs w:val="24"/>
              </w:rPr>
              <w:t>GPA</w:t>
            </w:r>
          </w:p>
        </w:tc>
        <w:tc>
          <w:tcPr>
            <w:tcW w:w="1170" w:type="dxa"/>
          </w:tcPr>
          <w:p w:rsidR="00E51C34" w:rsidRDefault="00E51C34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with Concerns</w:t>
            </w:r>
          </w:p>
        </w:tc>
        <w:tc>
          <w:tcPr>
            <w:tcW w:w="7200" w:type="dxa"/>
          </w:tcPr>
          <w:p w:rsidR="00E51C34" w:rsidRDefault="00E51C34" w:rsidP="0097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language needs clean-up around the definition of dual credit and inclusion of CTE; since there are no fees for Running Start enrollment, it is unclear how the scholarship could be used for that purpose;</w:t>
            </w:r>
            <w:r w:rsidR="00754924">
              <w:rPr>
                <w:sz w:val="24"/>
                <w:szCs w:val="24"/>
              </w:rPr>
              <w:t xml:space="preserve"> bill language </w:t>
            </w:r>
            <w:r w:rsidR="00972B32">
              <w:rPr>
                <w:sz w:val="24"/>
                <w:szCs w:val="24"/>
              </w:rPr>
              <w:t>provide</w:t>
            </w:r>
            <w:r w:rsidR="00754924">
              <w:rPr>
                <w:sz w:val="24"/>
                <w:szCs w:val="24"/>
              </w:rPr>
              <w:t>s</w:t>
            </w:r>
            <w:r w:rsidR="00972B32">
              <w:rPr>
                <w:sz w:val="24"/>
                <w:szCs w:val="24"/>
              </w:rPr>
              <w:t xml:space="preserve"> a textbook voucher for RS ($10 per credit up to 15 credits), which we support; </w:t>
            </w:r>
            <w:r>
              <w:rPr>
                <w:sz w:val="24"/>
                <w:szCs w:val="24"/>
              </w:rPr>
              <w:t xml:space="preserve">Joe Holliday will testify in </w:t>
            </w:r>
            <w:r w:rsidR="00754924">
              <w:rPr>
                <w:sz w:val="24"/>
                <w:szCs w:val="24"/>
              </w:rPr>
              <w:t xml:space="preserve">support in </w:t>
            </w:r>
            <w:r>
              <w:rPr>
                <w:sz w:val="24"/>
                <w:szCs w:val="24"/>
              </w:rPr>
              <w:t>College/Workforce Development Committee on 2/19/19</w:t>
            </w:r>
            <w:r w:rsidR="00754924">
              <w:rPr>
                <w:sz w:val="24"/>
                <w:szCs w:val="24"/>
              </w:rPr>
              <w:t xml:space="preserve"> requesting that WSAC administer the scholarship, not SBCTC, if the bill becomes law</w:t>
            </w:r>
          </w:p>
        </w:tc>
      </w:tr>
      <w:tr w:rsidR="00007054" w:rsidRPr="004F553F" w:rsidTr="00B443F4">
        <w:tc>
          <w:tcPr>
            <w:tcW w:w="703" w:type="dxa"/>
          </w:tcPr>
          <w:p w:rsidR="00007054" w:rsidRDefault="00007054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1998</w:t>
            </w:r>
          </w:p>
        </w:tc>
        <w:tc>
          <w:tcPr>
            <w:tcW w:w="5232" w:type="dxa"/>
          </w:tcPr>
          <w:p w:rsidR="00007054" w:rsidRDefault="00007054" w:rsidP="00007054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Sexual Violence Taskforce</w:t>
            </w:r>
            <w:r>
              <w:rPr>
                <w:sz w:val="24"/>
                <w:szCs w:val="24"/>
              </w:rPr>
              <w:t xml:space="preserve">: creates legislative taskforce and adds  higher education sector representatives, advocates, and survivors </w:t>
            </w:r>
          </w:p>
        </w:tc>
        <w:tc>
          <w:tcPr>
            <w:tcW w:w="1170" w:type="dxa"/>
          </w:tcPr>
          <w:p w:rsidR="00007054" w:rsidRDefault="00E51C34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007054" w:rsidRDefault="00007054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effort to respond as necessary to changes in Title IX regulations; convenes in July 2019</w:t>
            </w:r>
            <w:r w:rsidR="00754924">
              <w:rPr>
                <w:sz w:val="24"/>
                <w:szCs w:val="24"/>
              </w:rPr>
              <w:t>; Joe Holliday will testify i</w:t>
            </w:r>
            <w:r w:rsidR="00E51C34">
              <w:rPr>
                <w:sz w:val="24"/>
                <w:szCs w:val="24"/>
              </w:rPr>
              <w:t>n College/Workforce Development Committee on 2/19/19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5150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Community College Security</w:t>
            </w:r>
            <w:r w:rsidR="00106315">
              <w:rPr>
                <w:sz w:val="24"/>
                <w:szCs w:val="24"/>
              </w:rPr>
              <w:t>: allows safety and security officers to carry guns if trained or alternately for colleges to create commissioned police forces</w:t>
            </w:r>
          </w:p>
        </w:tc>
        <w:tc>
          <w:tcPr>
            <w:tcW w:w="1170" w:type="dxa"/>
          </w:tcPr>
          <w:p w:rsidR="001750A3" w:rsidRDefault="00106315" w:rsidP="0010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7200" w:type="dxa"/>
          </w:tcPr>
          <w:p w:rsidR="001750A3" w:rsidRDefault="00570DC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system advisory group issued a final report indicating that 13 of 17 members opposed the granting of this authority, and all system groups except for SSEM </w:t>
            </w:r>
            <w:r w:rsidR="002B12AF">
              <w:rPr>
                <w:sz w:val="24"/>
                <w:szCs w:val="24"/>
              </w:rPr>
              <w:t xml:space="preserve">Council </w:t>
            </w:r>
            <w:r>
              <w:rPr>
                <w:sz w:val="24"/>
                <w:szCs w:val="24"/>
              </w:rPr>
              <w:t>were either opposed or mixed</w:t>
            </w:r>
            <w:r w:rsidR="005267A2">
              <w:rPr>
                <w:sz w:val="24"/>
                <w:szCs w:val="24"/>
              </w:rPr>
              <w:t>; public hearing held in Higher Education Committee 1/31/19</w:t>
            </w:r>
            <w:r w:rsidR="008A0A11">
              <w:rPr>
                <w:sz w:val="24"/>
                <w:szCs w:val="24"/>
              </w:rPr>
              <w:t>; substitute bill will limit authority to contracting with local police departments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0D28EA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1750A3">
              <w:rPr>
                <w:sz w:val="24"/>
                <w:szCs w:val="24"/>
              </w:rPr>
              <w:t>SB 5166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Postsecondary Religious Accommodations</w:t>
            </w:r>
            <w:r w:rsidR="00106315">
              <w:rPr>
                <w:sz w:val="24"/>
                <w:szCs w:val="24"/>
              </w:rPr>
              <w:t xml:space="preserve">: expands religious accommodations to tests and other academic requirements, and requires policy to be posted on websites and on </w:t>
            </w:r>
            <w:r w:rsidR="000D28EA">
              <w:rPr>
                <w:sz w:val="24"/>
                <w:szCs w:val="24"/>
              </w:rPr>
              <w:t xml:space="preserve">all </w:t>
            </w:r>
            <w:r w:rsidR="00106315">
              <w:rPr>
                <w:sz w:val="24"/>
                <w:szCs w:val="24"/>
              </w:rPr>
              <w:t>course syllabi</w:t>
            </w:r>
            <w:r w:rsidR="000D28EA">
              <w:rPr>
                <w:sz w:val="24"/>
                <w:szCs w:val="24"/>
              </w:rPr>
              <w:t>; two week notice provision is unclear (“within two weeks of the beginning of the program”)</w:t>
            </w:r>
          </w:p>
        </w:tc>
        <w:tc>
          <w:tcPr>
            <w:tcW w:w="1170" w:type="dxa"/>
          </w:tcPr>
          <w:p w:rsidR="001750A3" w:rsidRDefault="00106315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7200" w:type="dxa"/>
          </w:tcPr>
          <w:p w:rsidR="001750A3" w:rsidRDefault="002177F7" w:rsidP="00217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“Face value” requirement c</w:t>
            </w:r>
            <w:r w:rsidR="00570DC3">
              <w:rPr>
                <w:sz w:val="24"/>
                <w:szCs w:val="24"/>
              </w:rPr>
              <w:t xml:space="preserve">ould </w:t>
            </w:r>
            <w:r w:rsidR="007B0D33">
              <w:rPr>
                <w:sz w:val="24"/>
                <w:szCs w:val="24"/>
              </w:rPr>
              <w:t>lead to</w:t>
            </w:r>
            <w:r w:rsidR="00570DC3">
              <w:rPr>
                <w:sz w:val="24"/>
                <w:szCs w:val="24"/>
              </w:rPr>
              <w:t xml:space="preserve"> student abuse of the accommodation; faculty </w:t>
            </w:r>
            <w:r w:rsidR="00A754A0">
              <w:rPr>
                <w:sz w:val="24"/>
                <w:szCs w:val="24"/>
              </w:rPr>
              <w:t>may not support</w:t>
            </w:r>
            <w:r w:rsidR="00570DC3">
              <w:rPr>
                <w:sz w:val="24"/>
                <w:szCs w:val="24"/>
              </w:rPr>
              <w:t xml:space="preserve"> the requirement to add policy language to ALL course syllabi</w:t>
            </w:r>
            <w:r w:rsidR="000D28EA">
              <w:rPr>
                <w:sz w:val="24"/>
                <w:szCs w:val="24"/>
              </w:rPr>
              <w:t>;</w:t>
            </w:r>
            <w:r w:rsidR="00CD2685">
              <w:rPr>
                <w:sz w:val="24"/>
                <w:szCs w:val="24"/>
              </w:rPr>
              <w:t xml:space="preserve"> substitute bill eliminates two-</w:t>
            </w:r>
            <w:r w:rsidR="000D28EA">
              <w:rPr>
                <w:sz w:val="24"/>
                <w:szCs w:val="24"/>
              </w:rPr>
              <w:t>day maximum</w:t>
            </w:r>
            <w:r w:rsidR="002B12AF">
              <w:rPr>
                <w:sz w:val="24"/>
                <w:szCs w:val="24"/>
              </w:rPr>
              <w:t xml:space="preserve"> in current RCW; e</w:t>
            </w:r>
            <w:r w:rsidR="00CD2685">
              <w:rPr>
                <w:sz w:val="24"/>
                <w:szCs w:val="24"/>
              </w:rPr>
              <w:t>xtensive testimony in favor, primarily by students and faculty of Muslim faith and Faith Action Network. Examples included fasting during Ramadan and Friday Noontime prayers. Do</w:t>
            </w:r>
            <w:r w:rsidR="002B12AF">
              <w:rPr>
                <w:sz w:val="24"/>
                <w:szCs w:val="24"/>
              </w:rPr>
              <w:t xml:space="preserve"> Pass referral </w:t>
            </w:r>
            <w:r w:rsidR="007B0D33">
              <w:rPr>
                <w:sz w:val="24"/>
                <w:szCs w:val="24"/>
              </w:rPr>
              <w:t xml:space="preserve">from Higher Education </w:t>
            </w:r>
            <w:proofErr w:type="spellStart"/>
            <w:r w:rsidR="007B0D33">
              <w:rPr>
                <w:sz w:val="24"/>
                <w:szCs w:val="24"/>
              </w:rPr>
              <w:t>Cmte</w:t>
            </w:r>
            <w:proofErr w:type="spellEnd"/>
            <w:r w:rsidR="007B0D33">
              <w:rPr>
                <w:sz w:val="24"/>
                <w:szCs w:val="24"/>
              </w:rPr>
              <w:t xml:space="preserve"> </w:t>
            </w:r>
            <w:r w:rsidR="002B12AF">
              <w:rPr>
                <w:sz w:val="24"/>
                <w:szCs w:val="24"/>
              </w:rPr>
              <w:t xml:space="preserve">to Ways &amp; Means </w:t>
            </w:r>
            <w:proofErr w:type="spellStart"/>
            <w:r w:rsidR="002B12AF">
              <w:rPr>
                <w:sz w:val="24"/>
                <w:szCs w:val="24"/>
              </w:rPr>
              <w:t>C</w:t>
            </w:r>
            <w:r w:rsidR="007B0D33">
              <w:rPr>
                <w:sz w:val="24"/>
                <w:szCs w:val="24"/>
              </w:rPr>
              <w:t>mte</w:t>
            </w:r>
            <w:proofErr w:type="spellEnd"/>
            <w:r w:rsidR="002B12AF">
              <w:rPr>
                <w:sz w:val="24"/>
                <w:szCs w:val="24"/>
              </w:rPr>
              <w:t>; r</w:t>
            </w:r>
            <w:r w:rsidR="00CD2685">
              <w:rPr>
                <w:sz w:val="24"/>
                <w:szCs w:val="24"/>
              </w:rPr>
              <w:t xml:space="preserve">eferral by W &amp; M to Rules </w:t>
            </w:r>
            <w:proofErr w:type="spellStart"/>
            <w:r w:rsidR="007B0D33">
              <w:rPr>
                <w:sz w:val="24"/>
                <w:szCs w:val="24"/>
              </w:rPr>
              <w:t>Cmte</w:t>
            </w:r>
            <w:proofErr w:type="spellEnd"/>
            <w:r w:rsidR="007B0D33">
              <w:rPr>
                <w:sz w:val="24"/>
                <w:szCs w:val="24"/>
              </w:rPr>
              <w:t xml:space="preserve"> </w:t>
            </w:r>
            <w:r w:rsidR="00CD2685">
              <w:rPr>
                <w:sz w:val="24"/>
                <w:szCs w:val="24"/>
              </w:rPr>
              <w:t>“without recommendation”</w:t>
            </w:r>
            <w:r w:rsidR="007B0D33">
              <w:rPr>
                <w:sz w:val="24"/>
                <w:szCs w:val="24"/>
              </w:rPr>
              <w:t xml:space="preserve"> (split vote)</w:t>
            </w:r>
            <w:r w:rsidR="00754924">
              <w:rPr>
                <w:sz w:val="24"/>
                <w:szCs w:val="24"/>
              </w:rPr>
              <w:t>; SBCTC will communicate concerns to bill sponsor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5197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National Guard Education Grants</w:t>
            </w:r>
            <w:r w:rsidR="00106315">
              <w:rPr>
                <w:sz w:val="24"/>
                <w:szCs w:val="24"/>
              </w:rPr>
              <w:t>: see HB 1201</w:t>
            </w:r>
          </w:p>
        </w:tc>
        <w:tc>
          <w:tcPr>
            <w:tcW w:w="1170" w:type="dxa"/>
          </w:tcPr>
          <w:p w:rsidR="001750A3" w:rsidRDefault="00106315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AD2CB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“do pass” recommendation out of Higher Education Committee, now in Ways &amp; Means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BF7C2F" w:rsidRDefault="001750A3" w:rsidP="005A6A4A">
            <w:pPr>
              <w:rPr>
                <w:sz w:val="24"/>
                <w:szCs w:val="24"/>
              </w:rPr>
            </w:pPr>
            <w:r w:rsidRPr="00BF7C2F">
              <w:rPr>
                <w:sz w:val="24"/>
                <w:szCs w:val="24"/>
              </w:rPr>
              <w:t>SB 5216</w:t>
            </w:r>
          </w:p>
        </w:tc>
        <w:tc>
          <w:tcPr>
            <w:tcW w:w="5232" w:type="dxa"/>
          </w:tcPr>
          <w:p w:rsidR="00E84B06" w:rsidRPr="00E84B06" w:rsidRDefault="001750A3" w:rsidP="00E84B06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Multi-Stage Threat Assessment</w:t>
            </w:r>
            <w:r w:rsidR="000415CF">
              <w:rPr>
                <w:sz w:val="24"/>
                <w:szCs w:val="24"/>
              </w:rPr>
              <w:t>:</w:t>
            </w:r>
            <w:r w:rsidR="000874D7">
              <w:rPr>
                <w:sz w:val="24"/>
                <w:szCs w:val="24"/>
              </w:rPr>
              <w:t xml:space="preserve"> requires colleges to </w:t>
            </w:r>
            <w:r w:rsidR="000874D7" w:rsidRPr="000874D7">
              <w:rPr>
                <w:sz w:val="24"/>
                <w:szCs w:val="24"/>
              </w:rPr>
              <w:t>develop and implement a multistag</w:t>
            </w:r>
            <w:r w:rsidR="00925560">
              <w:rPr>
                <w:sz w:val="24"/>
                <w:szCs w:val="24"/>
              </w:rPr>
              <w:t>e threat assessment process meeting</w:t>
            </w:r>
            <w:r w:rsidR="000874D7" w:rsidRPr="000874D7">
              <w:rPr>
                <w:sz w:val="24"/>
                <w:szCs w:val="24"/>
              </w:rPr>
              <w:t xml:space="preserve"> local safety needs and align</w:t>
            </w:r>
            <w:r w:rsidR="00925560">
              <w:rPr>
                <w:sz w:val="24"/>
                <w:szCs w:val="24"/>
              </w:rPr>
              <w:t>s</w:t>
            </w:r>
            <w:r w:rsidR="000874D7">
              <w:rPr>
                <w:sz w:val="24"/>
                <w:szCs w:val="24"/>
              </w:rPr>
              <w:t xml:space="preserve"> with an evidence-based model</w:t>
            </w:r>
          </w:p>
          <w:p w:rsidR="00E84B06" w:rsidRDefault="00E84B06" w:rsidP="00E84B06">
            <w:pPr>
              <w:rPr>
                <w:sz w:val="24"/>
                <w:szCs w:val="24"/>
              </w:rPr>
            </w:pPr>
            <w:r w:rsidRPr="00E84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</w:t>
            </w:r>
            <w:r w:rsidRPr="00E84B06">
              <w:rPr>
                <w:sz w:val="24"/>
                <w:szCs w:val="24"/>
              </w:rPr>
              <w:t xml:space="preserve"> multistage structured tea</w:t>
            </w:r>
            <w:r>
              <w:rPr>
                <w:sz w:val="24"/>
                <w:szCs w:val="24"/>
              </w:rPr>
              <w:t xml:space="preserve">m process </w:t>
            </w:r>
            <w:r w:rsidRPr="00E84B06">
              <w:rPr>
                <w:sz w:val="24"/>
                <w:szCs w:val="24"/>
              </w:rPr>
              <w:t>that is used to evaluate the risk</w:t>
            </w:r>
            <w:r>
              <w:rPr>
                <w:sz w:val="24"/>
                <w:szCs w:val="24"/>
              </w:rPr>
              <w:t xml:space="preserve"> posed by a student or another </w:t>
            </w:r>
            <w:r w:rsidRPr="00E84B06">
              <w:rPr>
                <w:sz w:val="24"/>
                <w:szCs w:val="24"/>
              </w:rPr>
              <w:t>person, typically as a response to an</w:t>
            </w:r>
            <w:r>
              <w:rPr>
                <w:sz w:val="24"/>
                <w:szCs w:val="24"/>
              </w:rPr>
              <w:t xml:space="preserve"> actual or perceived threat or </w:t>
            </w:r>
            <w:r w:rsidRPr="00E84B06">
              <w:rPr>
                <w:sz w:val="24"/>
                <w:szCs w:val="24"/>
              </w:rPr>
              <w:t>concerning behavior. If the threat asse</w:t>
            </w:r>
            <w:r>
              <w:rPr>
                <w:sz w:val="24"/>
                <w:szCs w:val="24"/>
              </w:rPr>
              <w:t xml:space="preserve">ssment indicates that there is </w:t>
            </w:r>
            <w:r w:rsidRPr="00E84B06">
              <w:rPr>
                <w:sz w:val="24"/>
                <w:szCs w:val="24"/>
              </w:rPr>
              <w:t>a risk of violence in a specific situatio</w:t>
            </w:r>
            <w:r>
              <w:rPr>
                <w:sz w:val="24"/>
                <w:szCs w:val="24"/>
              </w:rPr>
              <w:t xml:space="preserve">n, the team conducting the </w:t>
            </w:r>
            <w:r w:rsidRPr="00E84B06">
              <w:rPr>
                <w:sz w:val="24"/>
                <w:szCs w:val="24"/>
              </w:rPr>
              <w:t>threat assessment must collabo</w:t>
            </w:r>
            <w:r>
              <w:rPr>
                <w:sz w:val="24"/>
                <w:szCs w:val="24"/>
              </w:rPr>
              <w:t xml:space="preserve">rate with others including the </w:t>
            </w:r>
            <w:r w:rsidRPr="00E84B06">
              <w:rPr>
                <w:sz w:val="24"/>
                <w:szCs w:val="24"/>
              </w:rPr>
              <w:t>appropriate law enforcement agencies t</w:t>
            </w:r>
            <w:r>
              <w:rPr>
                <w:sz w:val="24"/>
                <w:szCs w:val="24"/>
              </w:rPr>
              <w:t xml:space="preserve">o develop and implement a plan </w:t>
            </w:r>
            <w:r w:rsidRPr="00E84B06">
              <w:rPr>
                <w:sz w:val="24"/>
                <w:szCs w:val="24"/>
              </w:rPr>
              <w:t>to manage or reduce the threat p</w:t>
            </w:r>
            <w:r>
              <w:rPr>
                <w:sz w:val="24"/>
                <w:szCs w:val="24"/>
              </w:rPr>
              <w:t xml:space="preserve">osed by the student or another </w:t>
            </w:r>
            <w:r w:rsidRPr="00E84B06">
              <w:rPr>
                <w:sz w:val="24"/>
                <w:szCs w:val="24"/>
              </w:rPr>
              <w:t>person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1750A3" w:rsidRDefault="003256C9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E84B06" w:rsidRDefault="00DE1BB2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December 31, 2019; e</w:t>
            </w:r>
            <w:r w:rsidR="003256C9">
              <w:rPr>
                <w:sz w:val="24"/>
                <w:szCs w:val="24"/>
              </w:rPr>
              <w:t xml:space="preserve">lements must include: </w:t>
            </w:r>
          </w:p>
          <w:p w:rsidR="00E84B06" w:rsidRPr="00925560" w:rsidRDefault="003256C9" w:rsidP="009255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5560">
              <w:rPr>
                <w:sz w:val="24"/>
                <w:szCs w:val="24"/>
              </w:rPr>
              <w:t xml:space="preserve">based on behaviors </w:t>
            </w:r>
          </w:p>
          <w:p w:rsidR="00E84B06" w:rsidRPr="00925560" w:rsidRDefault="003256C9" w:rsidP="009255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5560">
              <w:rPr>
                <w:sz w:val="24"/>
                <w:szCs w:val="24"/>
              </w:rPr>
              <w:t xml:space="preserve">integrated into college’s existing support system </w:t>
            </w:r>
          </w:p>
          <w:p w:rsidR="00E84B06" w:rsidRPr="00925560" w:rsidRDefault="003256C9" w:rsidP="009255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5560">
              <w:rPr>
                <w:sz w:val="24"/>
                <w:szCs w:val="24"/>
              </w:rPr>
              <w:t xml:space="preserve">include engagement with families </w:t>
            </w:r>
          </w:p>
          <w:p w:rsidR="00E84B06" w:rsidRPr="00925560" w:rsidRDefault="003256C9" w:rsidP="009255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25560">
              <w:rPr>
                <w:sz w:val="24"/>
                <w:szCs w:val="24"/>
              </w:rPr>
              <w:t xml:space="preserve">take medical/psychological disabilities into consideration </w:t>
            </w:r>
          </w:p>
          <w:p w:rsidR="001750A3" w:rsidRDefault="00925560" w:rsidP="009255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with school districts if Running Start students</w:t>
            </w:r>
          </w:p>
          <w:p w:rsidR="00D22B5C" w:rsidRDefault="00D22B5C" w:rsidP="00D22B5C">
            <w:pPr>
              <w:rPr>
                <w:sz w:val="24"/>
                <w:szCs w:val="24"/>
              </w:rPr>
            </w:pPr>
          </w:p>
          <w:p w:rsidR="00D22B5C" w:rsidRPr="00D22B5C" w:rsidRDefault="00D22B5C" w:rsidP="00D22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hearing in Early Learning &amp; K-12 Education Committee 1/30/19</w:t>
            </w:r>
            <w:r w:rsidR="00A84E76">
              <w:rPr>
                <w:sz w:val="24"/>
                <w:szCs w:val="24"/>
              </w:rPr>
              <w:t>; no executive action scheduled yet; our college Behavioral Intervention Teams (BITs) generally already use this process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Pr="00BF7C2F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5231</w:t>
            </w:r>
          </w:p>
        </w:tc>
        <w:tc>
          <w:tcPr>
            <w:tcW w:w="5232" w:type="dxa"/>
          </w:tcPr>
          <w:p w:rsidR="001750A3" w:rsidRDefault="001750A3" w:rsidP="002F3101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Veterans Survivor Tuition Waiver</w:t>
            </w:r>
            <w:r w:rsidR="000415CF">
              <w:rPr>
                <w:sz w:val="24"/>
                <w:szCs w:val="24"/>
              </w:rPr>
              <w:t>:</w:t>
            </w:r>
            <w:r w:rsidR="000C3A3F">
              <w:rPr>
                <w:sz w:val="24"/>
                <w:szCs w:val="24"/>
              </w:rPr>
              <w:t xml:space="preserve"> </w:t>
            </w:r>
            <w:r w:rsidR="000C3A3F" w:rsidRPr="000C3A3F">
              <w:rPr>
                <w:sz w:val="24"/>
                <w:szCs w:val="24"/>
              </w:rPr>
              <w:t xml:space="preserve">Aligns the dependent eligibility for dependent waivers with the criteria for Chapter 35 - SURVIVORS’ AND DEPENDENTS’ EDUCATIONAL ASSISTANCE </w:t>
            </w:r>
            <w:r w:rsidR="002F3101">
              <w:rPr>
                <w:sz w:val="24"/>
                <w:szCs w:val="24"/>
              </w:rPr>
              <w:t>using criteria from</w:t>
            </w:r>
            <w:r w:rsidR="000C3A3F" w:rsidRPr="000C3A3F">
              <w:rPr>
                <w:sz w:val="24"/>
                <w:szCs w:val="24"/>
              </w:rPr>
              <w:t>38 U.S.C. Sec. 30 3512(a)(1)-(8)</w:t>
            </w:r>
          </w:p>
        </w:tc>
        <w:tc>
          <w:tcPr>
            <w:tcW w:w="1170" w:type="dxa"/>
          </w:tcPr>
          <w:p w:rsidR="001750A3" w:rsidRDefault="000C3A3F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D22B5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“do pass” referral from Higher Education Committee to Ways &amp; Means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 5393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College Promise Scholarship</w:t>
            </w:r>
            <w:r w:rsidR="000415CF">
              <w:rPr>
                <w:sz w:val="24"/>
                <w:szCs w:val="24"/>
              </w:rPr>
              <w:t>:</w:t>
            </w:r>
            <w:r w:rsidR="00C24CE6">
              <w:rPr>
                <w:sz w:val="24"/>
                <w:szCs w:val="24"/>
              </w:rPr>
              <w:t xml:space="preserve"> see HB 1340</w:t>
            </w:r>
          </w:p>
        </w:tc>
        <w:tc>
          <w:tcPr>
            <w:tcW w:w="1170" w:type="dxa"/>
          </w:tcPr>
          <w:p w:rsidR="001750A3" w:rsidRDefault="00C24CE6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6B152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HB 1340</w:t>
            </w:r>
            <w:r w:rsidR="00924FB9">
              <w:rPr>
                <w:sz w:val="24"/>
                <w:szCs w:val="24"/>
              </w:rPr>
              <w:t>; “do pass” recommendation to Ways &amp; Means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5427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Dual Credit Programs</w:t>
            </w:r>
            <w:r w:rsidR="00C24CE6">
              <w:rPr>
                <w:sz w:val="24"/>
                <w:szCs w:val="24"/>
              </w:rPr>
              <w:t>: see HB 1164</w:t>
            </w:r>
          </w:p>
        </w:tc>
        <w:tc>
          <w:tcPr>
            <w:tcW w:w="1170" w:type="dxa"/>
          </w:tcPr>
          <w:p w:rsidR="001750A3" w:rsidRDefault="00C24CE6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6B152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HB 1164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5428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Higher Education Veteran Health</w:t>
            </w:r>
            <w:r w:rsidR="00C24CE6">
              <w:rPr>
                <w:sz w:val="24"/>
                <w:szCs w:val="24"/>
              </w:rPr>
              <w:t>: requires 4-year public institutions to have a licensed mental health counselor with experience working with veterans</w:t>
            </w:r>
          </w:p>
        </w:tc>
        <w:tc>
          <w:tcPr>
            <w:tcW w:w="1170" w:type="dxa"/>
          </w:tcPr>
          <w:p w:rsidR="001750A3" w:rsidRDefault="00C24CE6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1750A3" w:rsidRDefault="003F3A67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 to our sector as currently written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5464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Opioid Overdose Medications</w:t>
            </w:r>
            <w:r w:rsidR="00C24CE6">
              <w:rPr>
                <w:sz w:val="24"/>
                <w:szCs w:val="24"/>
              </w:rPr>
              <w:t>: see HB 1039</w:t>
            </w:r>
          </w:p>
        </w:tc>
        <w:tc>
          <w:tcPr>
            <w:tcW w:w="1170" w:type="dxa"/>
          </w:tcPr>
          <w:p w:rsidR="001750A3" w:rsidRDefault="00C24CE6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200" w:type="dxa"/>
          </w:tcPr>
          <w:p w:rsidR="001750A3" w:rsidRDefault="006B152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HB 1039</w:t>
            </w:r>
            <w:r w:rsidR="008057BB">
              <w:rPr>
                <w:sz w:val="24"/>
                <w:szCs w:val="24"/>
              </w:rPr>
              <w:t>; “do pass” recommendation to Ways &amp; Means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5477</w:t>
            </w:r>
          </w:p>
        </w:tc>
        <w:tc>
          <w:tcPr>
            <w:tcW w:w="5232" w:type="dxa"/>
          </w:tcPr>
          <w:p w:rsidR="001750A3" w:rsidRDefault="001750A3" w:rsidP="00DE1BB2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Higher Education Application Fees</w:t>
            </w:r>
            <w:r w:rsidR="00DE1BB2">
              <w:rPr>
                <w:sz w:val="24"/>
                <w:szCs w:val="24"/>
              </w:rPr>
              <w:t>: colleges required to waive</w:t>
            </w:r>
            <w:r w:rsidR="00C24CE6">
              <w:rPr>
                <w:sz w:val="24"/>
                <w:szCs w:val="24"/>
              </w:rPr>
              <w:t xml:space="preserve"> application fees for students in 12</w:t>
            </w:r>
            <w:r w:rsidR="00C24CE6" w:rsidRPr="00C24CE6">
              <w:rPr>
                <w:sz w:val="24"/>
                <w:szCs w:val="24"/>
                <w:vertAlign w:val="superscript"/>
              </w:rPr>
              <w:t>th</w:t>
            </w:r>
            <w:r w:rsidR="00C24CE6">
              <w:rPr>
                <w:sz w:val="24"/>
                <w:szCs w:val="24"/>
              </w:rPr>
              <w:t xml:space="preserve"> grade</w:t>
            </w:r>
            <w:r w:rsidR="00DE1BB2">
              <w:rPr>
                <w:sz w:val="24"/>
                <w:szCs w:val="24"/>
              </w:rPr>
              <w:t xml:space="preserve"> whose families are eligible for free-and-reduced-lunch</w:t>
            </w:r>
          </w:p>
        </w:tc>
        <w:tc>
          <w:tcPr>
            <w:tcW w:w="1170" w:type="dxa"/>
          </w:tcPr>
          <w:p w:rsidR="001750A3" w:rsidRDefault="00C24CE6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with concerns</w:t>
            </w:r>
          </w:p>
        </w:tc>
        <w:tc>
          <w:tcPr>
            <w:tcW w:w="7200" w:type="dxa"/>
          </w:tcPr>
          <w:p w:rsidR="001750A3" w:rsidRDefault="00F8042E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colleges with application fees that depend on the revenue – considering the high number/percentage of FA-eligible students at CTCs – this would be a hit on budgets</w:t>
            </w:r>
            <w:r w:rsidR="008057BB">
              <w:rPr>
                <w:sz w:val="24"/>
                <w:szCs w:val="24"/>
              </w:rPr>
              <w:t>; “do pass” recommendation to Ways &amp; Means</w:t>
            </w:r>
          </w:p>
        </w:tc>
      </w:tr>
      <w:tr w:rsidR="001750A3" w:rsidRPr="004F553F" w:rsidTr="00B443F4">
        <w:tc>
          <w:tcPr>
            <w:tcW w:w="703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5538</w:t>
            </w:r>
          </w:p>
        </w:tc>
        <w:tc>
          <w:tcPr>
            <w:tcW w:w="5232" w:type="dxa"/>
          </w:tcPr>
          <w:p w:rsidR="001750A3" w:rsidRDefault="001750A3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Free Speech</w:t>
            </w:r>
            <w:r w:rsidR="00C24CE6">
              <w:rPr>
                <w:sz w:val="24"/>
                <w:szCs w:val="24"/>
              </w:rPr>
              <w:t>: free speech in outdoor areas of campus should be free (and not limited to one area) as long as lawful and not disruptive</w:t>
            </w:r>
          </w:p>
        </w:tc>
        <w:tc>
          <w:tcPr>
            <w:tcW w:w="1170" w:type="dxa"/>
          </w:tcPr>
          <w:p w:rsidR="001750A3" w:rsidRDefault="00C24CE6" w:rsidP="00C2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200" w:type="dxa"/>
          </w:tcPr>
          <w:p w:rsidR="001750A3" w:rsidRDefault="006B1523" w:rsidP="002F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require changes to college free speech policies and practices</w:t>
            </w:r>
            <w:r w:rsidR="00925560">
              <w:rPr>
                <w:sz w:val="24"/>
                <w:szCs w:val="24"/>
              </w:rPr>
              <w:t>; testimony with concerns from independent and public universities; bill sponsor is open to revisions that limit bill provisions to “limited public forum” that retains advance notification, permits, etc. and limits it to groups aff</w:t>
            </w:r>
            <w:r w:rsidR="002F3101">
              <w:rPr>
                <w:sz w:val="24"/>
                <w:szCs w:val="24"/>
              </w:rPr>
              <w:t xml:space="preserve">iliated with the institution or invited to campus; public hearing </w:t>
            </w:r>
            <w:r w:rsidR="00D358FE">
              <w:rPr>
                <w:sz w:val="24"/>
                <w:szCs w:val="24"/>
              </w:rPr>
              <w:t>Higher Education Committee 1/29/19, no executive action yet</w:t>
            </w:r>
          </w:p>
        </w:tc>
      </w:tr>
      <w:tr w:rsidR="002177F7" w:rsidRPr="004F553F" w:rsidTr="00B443F4">
        <w:tc>
          <w:tcPr>
            <w:tcW w:w="703" w:type="dxa"/>
          </w:tcPr>
          <w:p w:rsidR="002177F7" w:rsidRDefault="002177F7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5738</w:t>
            </w:r>
          </w:p>
        </w:tc>
        <w:tc>
          <w:tcPr>
            <w:tcW w:w="5232" w:type="dxa"/>
          </w:tcPr>
          <w:p w:rsidR="002177F7" w:rsidRDefault="002177F7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Homeless College Students</w:t>
            </w:r>
            <w:r>
              <w:rPr>
                <w:sz w:val="24"/>
                <w:szCs w:val="24"/>
              </w:rPr>
              <w:t xml:space="preserve">: </w:t>
            </w:r>
            <w:r w:rsidRPr="002177F7">
              <w:rPr>
                <w:sz w:val="24"/>
                <w:szCs w:val="24"/>
              </w:rPr>
              <w:t xml:space="preserve">Requires all CTC districts to develop a </w:t>
            </w:r>
            <w:r>
              <w:rPr>
                <w:sz w:val="24"/>
                <w:szCs w:val="24"/>
              </w:rPr>
              <w:t xml:space="preserve">capital project plan by July </w:t>
            </w:r>
            <w:r w:rsidRPr="002177F7">
              <w:rPr>
                <w:sz w:val="24"/>
                <w:szCs w:val="24"/>
              </w:rPr>
              <w:t>2021 to renovate or rehabilitate an existing building to provide accom</w:t>
            </w:r>
            <w:r w:rsidR="00850826">
              <w:rPr>
                <w:sz w:val="24"/>
                <w:szCs w:val="24"/>
              </w:rPr>
              <w:t>m</w:t>
            </w:r>
            <w:r w:rsidRPr="002177F7">
              <w:rPr>
                <w:sz w:val="24"/>
                <w:szCs w:val="24"/>
              </w:rPr>
              <w:t xml:space="preserve">odations for students experiencing homelessness. Renovation </w:t>
            </w:r>
            <w:proofErr w:type="gramStart"/>
            <w:r w:rsidRPr="002177F7">
              <w:rPr>
                <w:sz w:val="24"/>
                <w:szCs w:val="24"/>
              </w:rPr>
              <w:t>must be completed</w:t>
            </w:r>
            <w:proofErr w:type="gramEnd"/>
            <w:r w:rsidRPr="002177F7">
              <w:rPr>
                <w:sz w:val="24"/>
                <w:szCs w:val="24"/>
              </w:rPr>
              <w:t xml:space="preserve"> by July 1, 2023.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2177F7" w:rsidRDefault="002177F7" w:rsidP="00C2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7200" w:type="dxa"/>
          </w:tcPr>
          <w:p w:rsidR="002177F7" w:rsidRDefault="002177F7" w:rsidP="0092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 about costs and about system-wide requirement rather than opt-in approach; public hearing in Higher Education Committee on 2.7.19, no executive action scheduled yet and no fiscal note available yet</w:t>
            </w:r>
          </w:p>
        </w:tc>
      </w:tr>
      <w:tr w:rsidR="00850826" w:rsidRPr="004F553F" w:rsidTr="00B443F4">
        <w:tc>
          <w:tcPr>
            <w:tcW w:w="703" w:type="dxa"/>
          </w:tcPr>
          <w:p w:rsidR="00850826" w:rsidRDefault="00850826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5755</w:t>
            </w:r>
          </w:p>
        </w:tc>
        <w:tc>
          <w:tcPr>
            <w:tcW w:w="5232" w:type="dxa"/>
          </w:tcPr>
          <w:p w:rsidR="00850826" w:rsidRDefault="00B443F4" w:rsidP="005A6A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Veteran/</w:t>
            </w:r>
            <w:r w:rsidR="00850826" w:rsidRPr="00B443F4">
              <w:rPr>
                <w:b/>
                <w:sz w:val="24"/>
                <w:szCs w:val="24"/>
              </w:rPr>
              <w:t>National Guard Waivers</w:t>
            </w:r>
            <w:r w:rsidR="00850826">
              <w:rPr>
                <w:sz w:val="24"/>
                <w:szCs w:val="24"/>
              </w:rPr>
              <w:t>: see HB 1178</w:t>
            </w:r>
          </w:p>
        </w:tc>
        <w:tc>
          <w:tcPr>
            <w:tcW w:w="1170" w:type="dxa"/>
          </w:tcPr>
          <w:p w:rsidR="00850826" w:rsidRDefault="00850826" w:rsidP="00C2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200" w:type="dxa"/>
          </w:tcPr>
          <w:p w:rsidR="00850826" w:rsidRDefault="00850826" w:rsidP="0092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HB 1178</w:t>
            </w:r>
          </w:p>
        </w:tc>
      </w:tr>
      <w:tr w:rsidR="003B1B7A" w:rsidRPr="004F553F" w:rsidTr="00B443F4">
        <w:tc>
          <w:tcPr>
            <w:tcW w:w="703" w:type="dxa"/>
          </w:tcPr>
          <w:p w:rsidR="003B1B7A" w:rsidRDefault="003B1B7A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5774</w:t>
            </w:r>
          </w:p>
        </w:tc>
        <w:tc>
          <w:tcPr>
            <w:tcW w:w="5232" w:type="dxa"/>
          </w:tcPr>
          <w:p w:rsidR="003B1B7A" w:rsidRDefault="003B1B7A" w:rsidP="005A6A4A">
            <w:pPr>
              <w:rPr>
                <w:sz w:val="24"/>
                <w:szCs w:val="24"/>
              </w:rPr>
            </w:pPr>
            <w:r w:rsidRPr="00B443F4">
              <w:rPr>
                <w:b/>
                <w:sz w:val="24"/>
                <w:szCs w:val="24"/>
              </w:rPr>
              <w:t>Student Debt Relief</w:t>
            </w:r>
            <w:r>
              <w:rPr>
                <w:sz w:val="24"/>
                <w:szCs w:val="24"/>
              </w:rPr>
              <w:t>: creates a voluntary Income Sharing Agreement (ISA) program managed by WSAC that allows students to make student loan debt more manageable</w:t>
            </w:r>
          </w:p>
        </w:tc>
        <w:tc>
          <w:tcPr>
            <w:tcW w:w="1170" w:type="dxa"/>
          </w:tcPr>
          <w:p w:rsidR="003B1B7A" w:rsidRDefault="00850826" w:rsidP="00C24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200" w:type="dxa"/>
          </w:tcPr>
          <w:p w:rsidR="003B1B7A" w:rsidRDefault="003B1B7A" w:rsidP="00925560">
            <w:pPr>
              <w:rPr>
                <w:sz w:val="24"/>
                <w:szCs w:val="24"/>
              </w:rPr>
            </w:pPr>
          </w:p>
        </w:tc>
      </w:tr>
    </w:tbl>
    <w:p w:rsidR="00833C38" w:rsidRPr="004F553F" w:rsidRDefault="00833C38" w:rsidP="00904A1C">
      <w:pPr>
        <w:rPr>
          <w:sz w:val="24"/>
          <w:szCs w:val="24"/>
        </w:rPr>
      </w:pPr>
    </w:p>
    <w:sectPr w:rsidR="00833C38" w:rsidRPr="004F553F" w:rsidSect="008B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F8" w:rsidRDefault="007904F8" w:rsidP="00EF4FC8">
      <w:pPr>
        <w:spacing w:after="0" w:line="240" w:lineRule="auto"/>
      </w:pPr>
      <w:r>
        <w:separator/>
      </w:r>
    </w:p>
  </w:endnote>
  <w:endnote w:type="continuationSeparator" w:id="0">
    <w:p w:rsidR="007904F8" w:rsidRDefault="007904F8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60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F8" w:rsidRDefault="00876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F8" w:rsidRDefault="007904F8" w:rsidP="00EF4FC8">
      <w:pPr>
        <w:spacing w:after="0" w:line="240" w:lineRule="auto"/>
      </w:pPr>
      <w:r>
        <w:separator/>
      </w:r>
    </w:p>
  </w:footnote>
  <w:footnote w:type="continuationSeparator" w:id="0">
    <w:p w:rsidR="007904F8" w:rsidRDefault="007904F8" w:rsidP="00E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7054"/>
    <w:rsid w:val="00026503"/>
    <w:rsid w:val="00033F3C"/>
    <w:rsid w:val="000415CF"/>
    <w:rsid w:val="000443E9"/>
    <w:rsid w:val="0008470C"/>
    <w:rsid w:val="000874D7"/>
    <w:rsid w:val="000968A0"/>
    <w:rsid w:val="000C3A3F"/>
    <w:rsid w:val="000C4A5A"/>
    <w:rsid w:val="000C6181"/>
    <w:rsid w:val="000D28EA"/>
    <w:rsid w:val="000E13F5"/>
    <w:rsid w:val="000E51A9"/>
    <w:rsid w:val="001060F2"/>
    <w:rsid w:val="00106315"/>
    <w:rsid w:val="001162A2"/>
    <w:rsid w:val="00127313"/>
    <w:rsid w:val="00127C52"/>
    <w:rsid w:val="001750A3"/>
    <w:rsid w:val="001B438E"/>
    <w:rsid w:val="001B51A7"/>
    <w:rsid w:val="001C3759"/>
    <w:rsid w:val="001E085A"/>
    <w:rsid w:val="001F15F7"/>
    <w:rsid w:val="002151F2"/>
    <w:rsid w:val="002177F7"/>
    <w:rsid w:val="00244E2A"/>
    <w:rsid w:val="00246551"/>
    <w:rsid w:val="00253517"/>
    <w:rsid w:val="0027072A"/>
    <w:rsid w:val="00276681"/>
    <w:rsid w:val="00281B23"/>
    <w:rsid w:val="00283E0B"/>
    <w:rsid w:val="00284089"/>
    <w:rsid w:val="002B12AF"/>
    <w:rsid w:val="002B15CE"/>
    <w:rsid w:val="002E0AD0"/>
    <w:rsid w:val="002F3101"/>
    <w:rsid w:val="002F3FEE"/>
    <w:rsid w:val="002F4E4A"/>
    <w:rsid w:val="00305EF1"/>
    <w:rsid w:val="00307E3B"/>
    <w:rsid w:val="003256C9"/>
    <w:rsid w:val="00341A6F"/>
    <w:rsid w:val="003678CF"/>
    <w:rsid w:val="00395423"/>
    <w:rsid w:val="003A050F"/>
    <w:rsid w:val="003A26F3"/>
    <w:rsid w:val="003B1B7A"/>
    <w:rsid w:val="003C04DC"/>
    <w:rsid w:val="003D672C"/>
    <w:rsid w:val="003E6FD4"/>
    <w:rsid w:val="003F3A67"/>
    <w:rsid w:val="0045469A"/>
    <w:rsid w:val="00480458"/>
    <w:rsid w:val="00485375"/>
    <w:rsid w:val="004B2030"/>
    <w:rsid w:val="004C3B66"/>
    <w:rsid w:val="004D0BCF"/>
    <w:rsid w:val="004F3BAD"/>
    <w:rsid w:val="004F553F"/>
    <w:rsid w:val="005235FD"/>
    <w:rsid w:val="00524957"/>
    <w:rsid w:val="005267A2"/>
    <w:rsid w:val="0053316C"/>
    <w:rsid w:val="00560C44"/>
    <w:rsid w:val="00570DC3"/>
    <w:rsid w:val="005771AB"/>
    <w:rsid w:val="005A543E"/>
    <w:rsid w:val="005A6A4A"/>
    <w:rsid w:val="005C16EC"/>
    <w:rsid w:val="0061602F"/>
    <w:rsid w:val="006645B9"/>
    <w:rsid w:val="00697AF9"/>
    <w:rsid w:val="006B1523"/>
    <w:rsid w:val="006D1B3D"/>
    <w:rsid w:val="006D6813"/>
    <w:rsid w:val="007007DE"/>
    <w:rsid w:val="00754924"/>
    <w:rsid w:val="0077122B"/>
    <w:rsid w:val="00774325"/>
    <w:rsid w:val="007904F8"/>
    <w:rsid w:val="007A34CD"/>
    <w:rsid w:val="007B0D33"/>
    <w:rsid w:val="007B71EE"/>
    <w:rsid w:val="007D259E"/>
    <w:rsid w:val="007D59B0"/>
    <w:rsid w:val="007E2305"/>
    <w:rsid w:val="007F14DB"/>
    <w:rsid w:val="008057BB"/>
    <w:rsid w:val="00814B9A"/>
    <w:rsid w:val="00826AF9"/>
    <w:rsid w:val="00833C38"/>
    <w:rsid w:val="00837498"/>
    <w:rsid w:val="00850826"/>
    <w:rsid w:val="00863BCC"/>
    <w:rsid w:val="008646C9"/>
    <w:rsid w:val="00871ADF"/>
    <w:rsid w:val="0087421E"/>
    <w:rsid w:val="008769F8"/>
    <w:rsid w:val="00882A2F"/>
    <w:rsid w:val="00885060"/>
    <w:rsid w:val="008A0A11"/>
    <w:rsid w:val="008B75EC"/>
    <w:rsid w:val="008C1B87"/>
    <w:rsid w:val="008C7CE0"/>
    <w:rsid w:val="008D2080"/>
    <w:rsid w:val="00904A1C"/>
    <w:rsid w:val="009153EA"/>
    <w:rsid w:val="00924FB9"/>
    <w:rsid w:val="00925560"/>
    <w:rsid w:val="00936524"/>
    <w:rsid w:val="0094241C"/>
    <w:rsid w:val="009629F8"/>
    <w:rsid w:val="00972B32"/>
    <w:rsid w:val="009933E0"/>
    <w:rsid w:val="00994339"/>
    <w:rsid w:val="009B50D9"/>
    <w:rsid w:val="009B57AD"/>
    <w:rsid w:val="009C072A"/>
    <w:rsid w:val="009E724B"/>
    <w:rsid w:val="009F1377"/>
    <w:rsid w:val="00A01443"/>
    <w:rsid w:val="00A1618B"/>
    <w:rsid w:val="00A47A42"/>
    <w:rsid w:val="00A754A0"/>
    <w:rsid w:val="00A84E76"/>
    <w:rsid w:val="00A854F2"/>
    <w:rsid w:val="00A903B6"/>
    <w:rsid w:val="00A903FE"/>
    <w:rsid w:val="00A944FE"/>
    <w:rsid w:val="00A96866"/>
    <w:rsid w:val="00AA22FA"/>
    <w:rsid w:val="00AA2603"/>
    <w:rsid w:val="00AD2CBC"/>
    <w:rsid w:val="00AD2F7D"/>
    <w:rsid w:val="00AD6BA0"/>
    <w:rsid w:val="00AE71E3"/>
    <w:rsid w:val="00B226B6"/>
    <w:rsid w:val="00B443F4"/>
    <w:rsid w:val="00B71C0F"/>
    <w:rsid w:val="00B85F7C"/>
    <w:rsid w:val="00BD2D14"/>
    <w:rsid w:val="00BF42B2"/>
    <w:rsid w:val="00BF7C2F"/>
    <w:rsid w:val="00C24CE6"/>
    <w:rsid w:val="00C33F6A"/>
    <w:rsid w:val="00C369F2"/>
    <w:rsid w:val="00C54D69"/>
    <w:rsid w:val="00C6542B"/>
    <w:rsid w:val="00CA044A"/>
    <w:rsid w:val="00CC1A5B"/>
    <w:rsid w:val="00CC71C8"/>
    <w:rsid w:val="00CD1DD1"/>
    <w:rsid w:val="00CD2685"/>
    <w:rsid w:val="00CE2996"/>
    <w:rsid w:val="00D05027"/>
    <w:rsid w:val="00D0581B"/>
    <w:rsid w:val="00D21398"/>
    <w:rsid w:val="00D22B5C"/>
    <w:rsid w:val="00D3262B"/>
    <w:rsid w:val="00D358FE"/>
    <w:rsid w:val="00D407A7"/>
    <w:rsid w:val="00D4581A"/>
    <w:rsid w:val="00D60F03"/>
    <w:rsid w:val="00D6245E"/>
    <w:rsid w:val="00D625E8"/>
    <w:rsid w:val="00D725EF"/>
    <w:rsid w:val="00D86A60"/>
    <w:rsid w:val="00D86EA6"/>
    <w:rsid w:val="00D93EDD"/>
    <w:rsid w:val="00DB0CEC"/>
    <w:rsid w:val="00DC44F7"/>
    <w:rsid w:val="00DD49E5"/>
    <w:rsid w:val="00DE1BB2"/>
    <w:rsid w:val="00DE4E5E"/>
    <w:rsid w:val="00E109AA"/>
    <w:rsid w:val="00E25C67"/>
    <w:rsid w:val="00E4254A"/>
    <w:rsid w:val="00E51C34"/>
    <w:rsid w:val="00E7111B"/>
    <w:rsid w:val="00E7465A"/>
    <w:rsid w:val="00E7686C"/>
    <w:rsid w:val="00E84B06"/>
    <w:rsid w:val="00EA6E55"/>
    <w:rsid w:val="00EB2915"/>
    <w:rsid w:val="00EE5BB6"/>
    <w:rsid w:val="00EF4FC8"/>
    <w:rsid w:val="00F10B6D"/>
    <w:rsid w:val="00F60757"/>
    <w:rsid w:val="00F65B09"/>
    <w:rsid w:val="00F8042E"/>
    <w:rsid w:val="00F8685A"/>
    <w:rsid w:val="00F971CE"/>
    <w:rsid w:val="00FB5C3B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429C4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89</cp:revision>
  <cp:lastPrinted>2019-02-05T16:37:00Z</cp:lastPrinted>
  <dcterms:created xsi:type="dcterms:W3CDTF">2019-01-23T19:57:00Z</dcterms:created>
  <dcterms:modified xsi:type="dcterms:W3CDTF">2019-02-19T17:56:00Z</dcterms:modified>
</cp:coreProperties>
</file>