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20" w:rsidRDefault="00F57320" w:rsidP="00F57320">
      <w:pPr>
        <w:pStyle w:val="Heading1"/>
        <w:jc w:val="center"/>
        <w:rPr>
          <w:b/>
          <w:color w:val="auto"/>
        </w:rPr>
      </w:pPr>
      <w:r>
        <w:rPr>
          <w:b/>
          <w:color w:val="auto"/>
        </w:rPr>
        <w:t>Data Governance Committee Proposal</w:t>
      </w:r>
    </w:p>
    <w:p w:rsidR="00F57320" w:rsidRPr="00F57320" w:rsidRDefault="00F57320" w:rsidP="00F57320">
      <w:pPr>
        <w:jc w:val="center"/>
      </w:pPr>
      <w:r>
        <w:t xml:space="preserve">Meta major coding schema in the HP9000 legacy system </w:t>
      </w:r>
    </w:p>
    <w:p w:rsidR="00187892" w:rsidRPr="008F64CA" w:rsidRDefault="00F57320" w:rsidP="00187892">
      <w:pPr>
        <w:pStyle w:val="Heading1"/>
        <w:rPr>
          <w:b/>
          <w:color w:val="auto"/>
        </w:rPr>
      </w:pPr>
      <w:r>
        <w:rPr>
          <w:b/>
          <w:color w:val="auto"/>
        </w:rPr>
        <w:t>Background</w:t>
      </w:r>
    </w:p>
    <w:p w:rsidR="001840CC" w:rsidRDefault="00F57320" w:rsidP="00187892">
      <w:r>
        <w:t xml:space="preserve">In 2016 five colleges were awarded a multi-year College Spark grant to implement Guided Pathways. </w:t>
      </w:r>
      <w:r w:rsidR="004206BB">
        <w:t xml:space="preserve">The SBCTC was also provided funding to assist with the implementation and evaluation efforts for the work. </w:t>
      </w:r>
      <w:r>
        <w:t xml:space="preserve">In 2017 another five colleges were awarded the grant for a total of 10 colleges </w:t>
      </w:r>
      <w:r w:rsidR="004206BB">
        <w:t xml:space="preserve">plus SBCTC </w:t>
      </w:r>
      <w:r>
        <w:t xml:space="preserve">with a multi-million dollar investment in the effort. </w:t>
      </w:r>
      <w:r w:rsidR="004206BB">
        <w:t>The work</w:t>
      </w:r>
      <w:r w:rsidR="001840CC">
        <w:t xml:space="preserve"> </w:t>
      </w:r>
      <w:r w:rsidR="004206BB">
        <w:t xml:space="preserve">plan </w:t>
      </w:r>
      <w:r w:rsidR="00B21F88">
        <w:t>the colleges must follow for</w:t>
      </w:r>
      <w:r w:rsidR="004206BB">
        <w:t xml:space="preserve"> the grant includes </w:t>
      </w:r>
      <w:r w:rsidR="00B21F88">
        <w:t xml:space="preserve">approximately 20 </w:t>
      </w:r>
      <w:r w:rsidR="004206BB">
        <w:t xml:space="preserve">minimum grant requirements that align with the </w:t>
      </w:r>
      <w:r w:rsidR="00B21F88">
        <w:t>Guided P</w:t>
      </w:r>
      <w:r w:rsidR="004206BB">
        <w:t>athways essential practices.</w:t>
      </w:r>
      <w:r w:rsidR="00E47838">
        <w:t xml:space="preserve"> One of the essential practices is </w:t>
      </w:r>
      <w:r w:rsidR="001840CC">
        <w:t xml:space="preserve">a </w:t>
      </w:r>
      <w:r w:rsidR="00E47838">
        <w:t>redesign</w:t>
      </w:r>
      <w:r w:rsidR="001840CC">
        <w:t xml:space="preserve"> of</w:t>
      </w:r>
      <w:r w:rsidR="00E47838">
        <w:t xml:space="preserve"> course offerings within meta</w:t>
      </w:r>
      <w:r w:rsidR="001840CC">
        <w:t>-</w:t>
      </w:r>
      <w:r w:rsidR="00E47838">
        <w:t>majors, which are clusters of majors within a broad career area (e.g., health sciences, social sciences, information technology, humanities, etc.). The adoption of meta</w:t>
      </w:r>
      <w:r w:rsidR="001840CC">
        <w:t>-</w:t>
      </w:r>
      <w:r w:rsidR="00E47838">
        <w:t xml:space="preserve">majors helps students to choose a career pathway earlier and helps them to stay on track.  </w:t>
      </w:r>
    </w:p>
    <w:p w:rsidR="00B21F88" w:rsidRDefault="00E47838" w:rsidP="00187892">
      <w:r>
        <w:t>In order to comply with the high levels of reporting and accountability required by funders and othe</w:t>
      </w:r>
      <w:r w:rsidR="001840CC">
        <w:t>r stakeholders, Guided Pathways colleges</w:t>
      </w:r>
      <w:r>
        <w:t xml:space="preserve"> need to track students by meta-major. </w:t>
      </w:r>
      <w:r w:rsidR="004206BB">
        <w:t xml:space="preserve"> </w:t>
      </w:r>
      <w:r>
        <w:t xml:space="preserve">The </w:t>
      </w:r>
      <w:r w:rsidR="00B21F88">
        <w:t xml:space="preserve">grant requirements </w:t>
      </w:r>
      <w:r w:rsidR="001840CC">
        <w:t xml:space="preserve">that specify the implementation items </w:t>
      </w:r>
      <w:r>
        <w:t xml:space="preserve">around </w:t>
      </w:r>
      <w:r w:rsidR="001840CC">
        <w:t xml:space="preserve">meta-majors for the College Spark funded colleges are as follows: </w:t>
      </w:r>
      <w:r w:rsidR="00B21F88">
        <w:t xml:space="preserve"> </w:t>
      </w:r>
    </w:p>
    <w:p w:rsidR="00B21F88" w:rsidRDefault="00B21F88" w:rsidP="00B21F88">
      <w:pPr>
        <w:pStyle w:val="ListParagraph"/>
        <w:numPr>
          <w:ilvl w:val="0"/>
          <w:numId w:val="24"/>
        </w:numPr>
      </w:pPr>
      <w:r>
        <w:t xml:space="preserve">Students who do not have a specific Program of Study in mind are required to choose a </w:t>
      </w:r>
      <w:r w:rsidR="001840CC">
        <w:t>m</w:t>
      </w:r>
      <w:r>
        <w:t>eta</w:t>
      </w:r>
      <w:r w:rsidR="001840CC">
        <w:t>-ma</w:t>
      </w:r>
      <w:r>
        <w:t>jor in a broad field of interest with a default curriculum that gives them a taste of the given field</w:t>
      </w:r>
    </w:p>
    <w:p w:rsidR="00B21F88" w:rsidRDefault="00E47838" w:rsidP="00B21F88">
      <w:pPr>
        <w:pStyle w:val="ListParagraph"/>
        <w:numPr>
          <w:ilvl w:val="0"/>
          <w:numId w:val="24"/>
        </w:numPr>
      </w:pPr>
      <w:r>
        <w:t xml:space="preserve">Every new credential-seeking student is helped to explore career/college options, choose a </w:t>
      </w:r>
      <w:r w:rsidR="001840CC">
        <w:t>m</w:t>
      </w:r>
      <w:r>
        <w:t>eta</w:t>
      </w:r>
      <w:r w:rsidR="001840CC">
        <w:t>-m</w:t>
      </w:r>
      <w:r>
        <w:t>ajor upon enrollment, and enter a Program of Study within no more than two quarters</w:t>
      </w:r>
    </w:p>
    <w:p w:rsidR="00E47838" w:rsidRDefault="00E47838" w:rsidP="00B21F88">
      <w:pPr>
        <w:pStyle w:val="ListParagraph"/>
        <w:numPr>
          <w:ilvl w:val="0"/>
          <w:numId w:val="24"/>
        </w:numPr>
      </w:pPr>
      <w:r>
        <w:rPr>
          <w:b/>
        </w:rPr>
        <w:t xml:space="preserve">Program monitoring: </w:t>
      </w:r>
      <w:r>
        <w:t xml:space="preserve">progress on academic plans is monitored on an ongoing basis. This includes tracking, monitoring, and ability to report on: </w:t>
      </w:r>
    </w:p>
    <w:p w:rsidR="00E47838" w:rsidRDefault="00E47838" w:rsidP="00E47838">
      <w:pPr>
        <w:pStyle w:val="ListParagraph"/>
        <w:numPr>
          <w:ilvl w:val="1"/>
          <w:numId w:val="24"/>
        </w:numPr>
      </w:pPr>
      <w:r>
        <w:t xml:space="preserve">Number of students in each </w:t>
      </w:r>
      <w:r w:rsidR="001840CC">
        <w:t>m</w:t>
      </w:r>
      <w:r>
        <w:t>eta</w:t>
      </w:r>
      <w:r w:rsidR="001840CC">
        <w:t>-m</w:t>
      </w:r>
      <w:r>
        <w:t xml:space="preserve">ajor and how many students are in an exploratory course sequence for their </w:t>
      </w:r>
      <w:r w:rsidR="001840CC">
        <w:t>m</w:t>
      </w:r>
      <w:r>
        <w:t>eta</w:t>
      </w:r>
      <w:r w:rsidR="001840CC">
        <w:t>-m</w:t>
      </w:r>
      <w:r>
        <w:t>ajor</w:t>
      </w:r>
    </w:p>
    <w:p w:rsidR="00187892" w:rsidRDefault="00E47838" w:rsidP="00187892">
      <w:r>
        <w:t xml:space="preserve">In the current </w:t>
      </w:r>
      <w:r w:rsidR="001840CC">
        <w:t xml:space="preserve">HP9000 Legacy </w:t>
      </w:r>
      <w:r>
        <w:t>data system there is no ability to track meta</w:t>
      </w:r>
      <w:r w:rsidR="001840CC">
        <w:t>-</w:t>
      </w:r>
      <w:r>
        <w:t xml:space="preserve">majors as it is a new concept for the colleges. The individual colleges </w:t>
      </w:r>
      <w:r w:rsidR="001840CC">
        <w:t xml:space="preserve">do </w:t>
      </w:r>
      <w:r>
        <w:t xml:space="preserve">have the ability to gather this information in their own way, but a system solution to the </w:t>
      </w:r>
      <w:r>
        <w:rPr>
          <w:b/>
        </w:rPr>
        <w:t xml:space="preserve">ability to track </w:t>
      </w:r>
      <w:r w:rsidR="001840CC">
        <w:rPr>
          <w:b/>
        </w:rPr>
        <w:t>m</w:t>
      </w:r>
      <w:r>
        <w:rPr>
          <w:b/>
        </w:rPr>
        <w:t>eta</w:t>
      </w:r>
      <w:r w:rsidR="001840CC">
        <w:rPr>
          <w:b/>
        </w:rPr>
        <w:t>-m</w:t>
      </w:r>
      <w:r>
        <w:rPr>
          <w:b/>
        </w:rPr>
        <w:t xml:space="preserve">ajors </w:t>
      </w:r>
      <w:r>
        <w:t xml:space="preserve">is the desired outcome for several reasons. First, modifications to the </w:t>
      </w:r>
      <w:r w:rsidR="00B21F88">
        <w:t xml:space="preserve">Legacy </w:t>
      </w:r>
      <w:r>
        <w:t>structure w</w:t>
      </w:r>
      <w:r w:rsidR="00B21F88">
        <w:t>ill enable a cost-effective approach for all colleges that ensures uniformity in data collection and reporting</w:t>
      </w:r>
      <w:r>
        <w:t xml:space="preserve">. Second, colleges will, if not recommended or required to track consistently, indeed find their own way. This will only add to the difficulties of measuring student success and work directly against the intentions of the Guided Pathways model. </w:t>
      </w:r>
      <w:r w:rsidR="001840CC">
        <w:t>Third, a</w:t>
      </w:r>
      <w:r>
        <w:t xml:space="preserve"> unified approach would allow SBCTC to provide support and perhaps reporting on the colleges behalf, which is not possible unless the data is collected consistently and at the system-level. </w:t>
      </w:r>
      <w:r w:rsidR="00187892">
        <w:t xml:space="preserve"> </w:t>
      </w:r>
    </w:p>
    <w:p w:rsidR="00187892" w:rsidRPr="001840CC" w:rsidRDefault="00187892" w:rsidP="001840CC">
      <w:pPr>
        <w:pStyle w:val="Heading1"/>
        <w:rPr>
          <w:color w:val="auto"/>
        </w:rPr>
      </w:pPr>
      <w:bookmarkStart w:id="0" w:name="_Toc515371987"/>
      <w:r w:rsidRPr="001840CC">
        <w:rPr>
          <w:color w:val="auto"/>
        </w:rPr>
        <w:t>Proposed Legacy Solution</w:t>
      </w:r>
      <w:bookmarkEnd w:id="0"/>
    </w:p>
    <w:p w:rsidR="008E4903" w:rsidRDefault="00187892" w:rsidP="00187892">
      <w:r>
        <w:t xml:space="preserve">The proposed solution for </w:t>
      </w:r>
      <w:r w:rsidR="00CF2D10">
        <w:t>colleges</w:t>
      </w:r>
      <w:r>
        <w:t xml:space="preserve"> still using the HP9000 is to add a new, foreign-keyed field to the EDUC-PRG-M table </w:t>
      </w:r>
      <w:r w:rsidR="00CF2D10">
        <w:t xml:space="preserve">(SM5006) </w:t>
      </w:r>
      <w:r>
        <w:t xml:space="preserve">to store a meta-major code and a corresponding table defining meta-major.  </w:t>
      </w:r>
      <w:r w:rsidR="008E4903">
        <w:t>The meta-major code will also be added to screen SM700A for view only</w:t>
      </w:r>
      <w:bookmarkStart w:id="1" w:name="_GoBack"/>
      <w:bookmarkEnd w:id="1"/>
      <w:r w:rsidR="008E4903">
        <w:t xml:space="preserve">.  </w:t>
      </w:r>
    </w:p>
    <w:p w:rsidR="008E4903" w:rsidRDefault="008E4903" w:rsidP="00187892"/>
    <w:p w:rsidR="008E4903" w:rsidRDefault="008E4903" w:rsidP="00187892"/>
    <w:p w:rsidR="00CF2D10" w:rsidRDefault="00CF2D10" w:rsidP="00187892">
      <w:r>
        <w:lastRenderedPageBreak/>
        <w:t xml:space="preserve">There are two key components to this recommendation. </w:t>
      </w:r>
    </w:p>
    <w:p w:rsidR="00CF2D10" w:rsidRPr="00CF2D10" w:rsidRDefault="00230514" w:rsidP="00187892">
      <w:pPr>
        <w:rPr>
          <w:b/>
        </w:rPr>
      </w:pPr>
      <w:r>
        <w:rPr>
          <w:b/>
        </w:rPr>
        <w:t xml:space="preserve">1. </w:t>
      </w:r>
      <w:r w:rsidR="00CF2D10">
        <w:rPr>
          <w:b/>
        </w:rPr>
        <w:t>Global meta</w:t>
      </w:r>
      <w:r w:rsidR="00B67C71">
        <w:rPr>
          <w:b/>
        </w:rPr>
        <w:t>-</w:t>
      </w:r>
      <w:r w:rsidR="00CF2D10">
        <w:rPr>
          <w:b/>
        </w:rPr>
        <w:t>major title list</w:t>
      </w:r>
    </w:p>
    <w:p w:rsidR="00187892" w:rsidRPr="00CF2D10" w:rsidRDefault="00CF2D10" w:rsidP="00187892">
      <w:r>
        <w:t>A global list of meta</w:t>
      </w:r>
      <w:r w:rsidR="00B67C71">
        <w:t>-</w:t>
      </w:r>
      <w:r>
        <w:t xml:space="preserve">major titles would be provided to the colleges to choose from on the screen. The global list is for </w:t>
      </w:r>
      <w:r>
        <w:rPr>
          <w:i/>
        </w:rPr>
        <w:t xml:space="preserve">categorizing, labeling, and reporting purposes only, </w:t>
      </w:r>
      <w:r>
        <w:t>and does not have any impact on the title of the meta</w:t>
      </w:r>
      <w:r w:rsidR="00B67C71">
        <w:t>-</w:t>
      </w:r>
      <w:r>
        <w:t xml:space="preserve">major that the college uses in its publications, advising, discussion, </w:t>
      </w:r>
      <w:proofErr w:type="spellStart"/>
      <w:r>
        <w:t>etc</w:t>
      </w:r>
      <w:proofErr w:type="spellEnd"/>
      <w:r>
        <w:t xml:space="preserve">, with the campus community and public. This common list will allow the data to live in TBL3, which makes the solution easier to implement. If a global list cannot be used, the data would have to live in TBL4 which would require colleges have their own lookup tables and any system level reporting that is needed would require more input and communication.  </w:t>
      </w:r>
    </w:p>
    <w:p w:rsidR="00CF2D10" w:rsidRPr="00453E3C" w:rsidRDefault="00CF2D10" w:rsidP="00187892">
      <w:pPr>
        <w:rPr>
          <w:b/>
          <w:bCs/>
          <w:i/>
        </w:rPr>
      </w:pPr>
      <w:r w:rsidRPr="00453E3C">
        <w:rPr>
          <w:b/>
          <w:bCs/>
          <w:i/>
        </w:rPr>
        <w:t>Example of HP9000 Screen for data input</w:t>
      </w:r>
    </w:p>
    <w:p w:rsidR="00187892" w:rsidRDefault="00187892" w:rsidP="00187892">
      <w:pPr>
        <w:rPr>
          <w:b/>
          <w:bCs/>
        </w:rPr>
      </w:pPr>
      <w:r>
        <w:rPr>
          <w:b/>
          <w:bCs/>
        </w:rPr>
        <w:t>EDUC-PRG-M (SM5006)</w:t>
      </w:r>
    </w:p>
    <w:tbl>
      <w:tblPr>
        <w:tblStyle w:val="GridTable1Light"/>
        <w:tblW w:w="0" w:type="auto"/>
        <w:tblLook w:val="06A0" w:firstRow="1" w:lastRow="0" w:firstColumn="1" w:lastColumn="0" w:noHBand="1" w:noVBand="1"/>
      </w:tblPr>
      <w:tblGrid>
        <w:gridCol w:w="3415"/>
        <w:gridCol w:w="1710"/>
      </w:tblGrid>
      <w:tr w:rsidR="00187892" w:rsidTr="00C00B8E">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415" w:type="dxa"/>
            <w:hideMark/>
          </w:tcPr>
          <w:p w:rsidR="00187892" w:rsidRDefault="00187892" w:rsidP="000A47AF">
            <w:pPr>
              <w:rPr>
                <w:b w:val="0"/>
                <w:bCs w:val="0"/>
              </w:rPr>
            </w:pPr>
            <w:r>
              <w:t>Field</w:t>
            </w:r>
          </w:p>
        </w:tc>
        <w:tc>
          <w:tcPr>
            <w:tcW w:w="1710" w:type="dxa"/>
          </w:tcPr>
          <w:p w:rsidR="00187892" w:rsidRDefault="00187892" w:rsidP="000A47AF">
            <w:pPr>
              <w:cnfStyle w:val="100000000000" w:firstRow="1" w:lastRow="0" w:firstColumn="0" w:lastColumn="0" w:oddVBand="0" w:evenVBand="0" w:oddHBand="0" w:evenHBand="0" w:firstRowFirstColumn="0" w:firstRowLastColumn="0" w:lastRowFirstColumn="0" w:lastRowLastColumn="0"/>
              <w:rPr>
                <w:b w:val="0"/>
                <w:bCs w:val="0"/>
              </w:rPr>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EDUC_PRG_CD</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DEGREE_TITLE</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EDUC_PRG_TITLE</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META_MAJOR</w:t>
            </w:r>
          </w:p>
        </w:tc>
        <w:tc>
          <w:tcPr>
            <w:tcW w:w="1710" w:type="dxa"/>
            <w:hideMark/>
          </w:tcPr>
          <w:p w:rsidR="00187892" w:rsidRDefault="00187892" w:rsidP="000A47AF">
            <w:pPr>
              <w:cnfStyle w:val="000000000000" w:firstRow="0" w:lastRow="0" w:firstColumn="0" w:lastColumn="0" w:oddVBand="0" w:evenVBand="0" w:oddHBand="0" w:evenHBand="0" w:firstRowFirstColumn="0" w:firstRowLastColumn="0" w:lastRowFirstColumn="0" w:lastRowLastColumn="0"/>
            </w:pPr>
            <w:r>
              <w:t>*new, char (4)</w:t>
            </w: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EXIT_CD</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EFF_YRQ_BEG</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EFF_YRQ_END</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PRG_HR</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PRG_HR_DAY</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INSTRN_CAL_CD</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r w:rsidR="00187892" w:rsidTr="00C00B8E">
        <w:tc>
          <w:tcPr>
            <w:cnfStyle w:val="001000000000" w:firstRow="0" w:lastRow="0" w:firstColumn="1" w:lastColumn="0" w:oddVBand="0" w:evenVBand="0" w:oddHBand="0" w:evenHBand="0" w:firstRowFirstColumn="0" w:firstRowLastColumn="0" w:lastRowFirstColumn="0" w:lastRowLastColumn="0"/>
            <w:tcW w:w="3415" w:type="dxa"/>
            <w:hideMark/>
          </w:tcPr>
          <w:p w:rsidR="00187892" w:rsidRPr="00453E3C" w:rsidRDefault="00187892" w:rsidP="000A47AF">
            <w:pPr>
              <w:rPr>
                <w:b w:val="0"/>
                <w:bCs w:val="0"/>
              </w:rPr>
            </w:pPr>
            <w:r w:rsidRPr="00453E3C">
              <w:rPr>
                <w:b w:val="0"/>
              </w:rPr>
              <w:t>EDUC_PRG_MISC</w:t>
            </w:r>
          </w:p>
        </w:tc>
        <w:tc>
          <w:tcPr>
            <w:tcW w:w="1710" w:type="dxa"/>
          </w:tcPr>
          <w:p w:rsidR="00187892" w:rsidRDefault="00187892" w:rsidP="000A47AF">
            <w:pPr>
              <w:cnfStyle w:val="000000000000" w:firstRow="0" w:lastRow="0" w:firstColumn="0" w:lastColumn="0" w:oddVBand="0" w:evenVBand="0" w:oddHBand="0" w:evenHBand="0" w:firstRowFirstColumn="0" w:firstRowLastColumn="0" w:lastRowFirstColumn="0" w:lastRowLastColumn="0"/>
            </w:pPr>
          </w:p>
        </w:tc>
      </w:tr>
    </w:tbl>
    <w:p w:rsidR="00187892" w:rsidRDefault="00187892" w:rsidP="00187892">
      <w:pPr>
        <w:rPr>
          <w:rFonts w:ascii="Calibri" w:hAnsi="Calibri" w:cs="Calibri"/>
        </w:rPr>
      </w:pPr>
    </w:p>
    <w:p w:rsidR="00453E3C" w:rsidRPr="00453E3C" w:rsidRDefault="00453E3C" w:rsidP="00187892">
      <w:pPr>
        <w:rPr>
          <w:rFonts w:ascii="Calibri" w:hAnsi="Calibri" w:cs="Calibri"/>
          <w:b/>
          <w:i/>
        </w:rPr>
      </w:pPr>
      <w:r w:rsidRPr="00453E3C">
        <w:rPr>
          <w:rFonts w:ascii="Calibri" w:hAnsi="Calibri" w:cs="Calibri"/>
          <w:b/>
          <w:i/>
        </w:rPr>
        <w:t>Example of global meta</w:t>
      </w:r>
      <w:r w:rsidR="00B67C71">
        <w:rPr>
          <w:rFonts w:ascii="Calibri" w:hAnsi="Calibri" w:cs="Calibri"/>
          <w:b/>
          <w:i/>
        </w:rPr>
        <w:t>-</w:t>
      </w:r>
      <w:r w:rsidRPr="00453E3C">
        <w:rPr>
          <w:rFonts w:ascii="Calibri" w:hAnsi="Calibri" w:cs="Calibri"/>
          <w:b/>
          <w:i/>
        </w:rPr>
        <w:t>major titles and codes</w:t>
      </w:r>
    </w:p>
    <w:tbl>
      <w:tblPr>
        <w:tblStyle w:val="GridTable1Light"/>
        <w:tblW w:w="10255" w:type="dxa"/>
        <w:tblLook w:val="06A0" w:firstRow="1" w:lastRow="0" w:firstColumn="1" w:lastColumn="0" w:noHBand="1" w:noVBand="1"/>
      </w:tblPr>
      <w:tblGrid>
        <w:gridCol w:w="4045"/>
        <w:gridCol w:w="2340"/>
        <w:gridCol w:w="3870"/>
      </w:tblGrid>
      <w:tr w:rsidR="0074160F" w:rsidTr="00B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hideMark/>
          </w:tcPr>
          <w:p w:rsidR="0074160F" w:rsidRDefault="00B67C71" w:rsidP="00B67C71">
            <w:pPr>
              <w:rPr>
                <w:b w:val="0"/>
                <w:bCs w:val="0"/>
              </w:rPr>
            </w:pPr>
            <w:r>
              <w:t>Global m</w:t>
            </w:r>
            <w:r w:rsidR="0074160F">
              <w:t>eta</w:t>
            </w:r>
            <w:r>
              <w:t>-m</w:t>
            </w:r>
            <w:r w:rsidR="0074160F">
              <w:t xml:space="preserve">ajor </w:t>
            </w:r>
            <w:r>
              <w:t>t</w:t>
            </w:r>
            <w:r w:rsidR="0074160F">
              <w:t>itle</w:t>
            </w:r>
          </w:p>
        </w:tc>
        <w:tc>
          <w:tcPr>
            <w:tcW w:w="2340" w:type="dxa"/>
          </w:tcPr>
          <w:p w:rsidR="0074160F" w:rsidRPr="00453E3C" w:rsidRDefault="00B67C71" w:rsidP="00B67C71">
            <w:pPr>
              <w:cnfStyle w:val="100000000000" w:firstRow="1" w:lastRow="0" w:firstColumn="0" w:lastColumn="0" w:oddVBand="0" w:evenVBand="0" w:oddHBand="0" w:evenHBand="0" w:firstRowFirstColumn="0" w:firstRowLastColumn="0" w:lastRowFirstColumn="0" w:lastRowLastColumn="0"/>
              <w:rPr>
                <w:bCs w:val="0"/>
              </w:rPr>
            </w:pPr>
            <w:r>
              <w:rPr>
                <w:bCs w:val="0"/>
              </w:rPr>
              <w:t>Global m</w:t>
            </w:r>
            <w:r w:rsidR="0074160F" w:rsidRPr="00453E3C">
              <w:rPr>
                <w:bCs w:val="0"/>
              </w:rPr>
              <w:t>eta</w:t>
            </w:r>
            <w:r>
              <w:rPr>
                <w:bCs w:val="0"/>
              </w:rPr>
              <w:t>-m</w:t>
            </w:r>
            <w:r w:rsidR="0074160F" w:rsidRPr="00453E3C">
              <w:rPr>
                <w:bCs w:val="0"/>
              </w:rPr>
              <w:t xml:space="preserve">ajor </w:t>
            </w:r>
            <w:r>
              <w:rPr>
                <w:bCs w:val="0"/>
              </w:rPr>
              <w:t>c</w:t>
            </w:r>
            <w:r w:rsidR="0074160F" w:rsidRPr="00453E3C">
              <w:rPr>
                <w:bCs w:val="0"/>
              </w:rPr>
              <w:t>ode</w:t>
            </w:r>
          </w:p>
        </w:tc>
        <w:tc>
          <w:tcPr>
            <w:tcW w:w="3870" w:type="dxa"/>
          </w:tcPr>
          <w:p w:rsidR="0074160F" w:rsidRPr="00453E3C" w:rsidRDefault="0074160F" w:rsidP="00B67C71">
            <w:pPr>
              <w:cnfStyle w:val="100000000000" w:firstRow="1" w:lastRow="0" w:firstColumn="0" w:lastColumn="0" w:oddVBand="0" w:evenVBand="0" w:oddHBand="0" w:evenHBand="0" w:firstRowFirstColumn="0" w:firstRowLastColumn="0" w:lastRowFirstColumn="0" w:lastRowLastColumn="0"/>
            </w:pPr>
            <w:r>
              <w:t>College</w:t>
            </w:r>
            <w:r w:rsidR="00B67C71">
              <w:t xml:space="preserve"> meta-major title </w:t>
            </w:r>
            <w:r w:rsidR="00B67C71" w:rsidRPr="00B67C71">
              <w:rPr>
                <w:b w:val="0"/>
              </w:rPr>
              <w:t>(Clark College example)</w:t>
            </w: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093442">
            <w:pPr>
              <w:rPr>
                <w:b w:val="0"/>
                <w:bCs w:val="0"/>
              </w:rPr>
            </w:pPr>
            <w:r>
              <w:rPr>
                <w:b w:val="0"/>
                <w:bCs w:val="0"/>
              </w:rPr>
              <w:t>Business</w:t>
            </w:r>
          </w:p>
        </w:tc>
        <w:tc>
          <w:tcPr>
            <w:tcW w:w="2340" w:type="dxa"/>
          </w:tcPr>
          <w:p w:rsidR="0074160F" w:rsidRPr="001840CC" w:rsidRDefault="0074160F" w:rsidP="00093442">
            <w:pPr>
              <w:cnfStyle w:val="000000000000" w:firstRow="0" w:lastRow="0" w:firstColumn="0" w:lastColumn="0" w:oddVBand="0" w:evenVBand="0" w:oddHBand="0" w:evenHBand="0" w:firstRowFirstColumn="0" w:firstRowLastColumn="0" w:lastRowFirstColumn="0" w:lastRowLastColumn="0"/>
              <w:rPr>
                <w:bCs/>
              </w:rPr>
            </w:pPr>
            <w:r>
              <w:rPr>
                <w:bCs/>
              </w:rPr>
              <w:t>BUSN</w:t>
            </w:r>
          </w:p>
        </w:tc>
        <w:tc>
          <w:tcPr>
            <w:tcW w:w="3870" w:type="dxa"/>
          </w:tcPr>
          <w:p w:rsidR="0074160F" w:rsidRDefault="008E3416" w:rsidP="00093442">
            <w:pPr>
              <w:cnfStyle w:val="000000000000" w:firstRow="0" w:lastRow="0" w:firstColumn="0" w:lastColumn="0" w:oddVBand="0" w:evenVBand="0" w:oddHBand="0" w:evenHBand="0" w:firstRowFirstColumn="0" w:firstRowLastColumn="0" w:lastRowFirstColumn="0" w:lastRowLastColumn="0"/>
              <w:rPr>
                <w:bCs/>
              </w:rPr>
            </w:pPr>
            <w:hyperlink r:id="rId7" w:tooltip="Business and Entrepreneurship" w:history="1">
              <w:r w:rsidR="0074160F">
                <w:rPr>
                  <w:rStyle w:val="Hyperlink"/>
                  <w:rFonts w:ascii="inherit" w:hAnsi="inherit" w:cs="Helvetica"/>
                  <w:lang w:val="en"/>
                </w:rPr>
                <w:t>Business and Entrepreneurship</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465744">
            <w:pPr>
              <w:rPr>
                <w:b w:val="0"/>
                <w:bCs w:val="0"/>
              </w:rPr>
            </w:pPr>
            <w:r>
              <w:rPr>
                <w:b w:val="0"/>
                <w:bCs w:val="0"/>
              </w:rPr>
              <w:t>Information technology</w:t>
            </w:r>
          </w:p>
        </w:tc>
        <w:tc>
          <w:tcPr>
            <w:tcW w:w="2340" w:type="dxa"/>
          </w:tcPr>
          <w:p w:rsidR="0074160F" w:rsidRPr="00C00B8E" w:rsidRDefault="0074160F" w:rsidP="00465744">
            <w:pPr>
              <w:cnfStyle w:val="000000000000" w:firstRow="0" w:lastRow="0" w:firstColumn="0" w:lastColumn="0" w:oddVBand="0" w:evenVBand="0" w:oddHBand="0" w:evenHBand="0" w:firstRowFirstColumn="0" w:firstRowLastColumn="0" w:lastRowFirstColumn="0" w:lastRowLastColumn="0"/>
              <w:rPr>
                <w:bCs/>
              </w:rPr>
            </w:pPr>
            <w:r>
              <w:rPr>
                <w:bCs/>
              </w:rPr>
              <w:t>ITEC</w:t>
            </w:r>
          </w:p>
        </w:tc>
        <w:tc>
          <w:tcPr>
            <w:tcW w:w="3870" w:type="dxa"/>
          </w:tcPr>
          <w:p w:rsidR="0074160F" w:rsidRDefault="0074160F" w:rsidP="00465744">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465744">
            <w:pPr>
              <w:rPr>
                <w:b w:val="0"/>
                <w:bCs w:val="0"/>
              </w:rPr>
            </w:pPr>
            <w:r>
              <w:rPr>
                <w:b w:val="0"/>
                <w:bCs w:val="0"/>
              </w:rPr>
              <w:t>Business and information technology</w:t>
            </w:r>
          </w:p>
        </w:tc>
        <w:tc>
          <w:tcPr>
            <w:tcW w:w="2340" w:type="dxa"/>
          </w:tcPr>
          <w:p w:rsidR="0074160F" w:rsidRPr="001840CC" w:rsidRDefault="0074160F" w:rsidP="00465744">
            <w:pPr>
              <w:cnfStyle w:val="000000000000" w:firstRow="0" w:lastRow="0" w:firstColumn="0" w:lastColumn="0" w:oddVBand="0" w:evenVBand="0" w:oddHBand="0" w:evenHBand="0" w:firstRowFirstColumn="0" w:firstRowLastColumn="0" w:lastRowFirstColumn="0" w:lastRowLastColumn="0"/>
              <w:rPr>
                <w:bCs/>
              </w:rPr>
            </w:pPr>
            <w:r>
              <w:rPr>
                <w:bCs/>
              </w:rPr>
              <w:t>BSIT</w:t>
            </w:r>
          </w:p>
        </w:tc>
        <w:tc>
          <w:tcPr>
            <w:tcW w:w="3870" w:type="dxa"/>
          </w:tcPr>
          <w:p w:rsidR="0074160F" w:rsidRDefault="0074160F" w:rsidP="00465744">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Pr="0074160F" w:rsidRDefault="0074160F" w:rsidP="00465744">
            <w:pPr>
              <w:rPr>
                <w:b w:val="0"/>
                <w:bCs w:val="0"/>
                <w:highlight w:val="yellow"/>
              </w:rPr>
            </w:pPr>
            <w:r w:rsidRPr="0074160F">
              <w:rPr>
                <w:b w:val="0"/>
                <w:bCs w:val="0"/>
                <w:highlight w:val="yellow"/>
              </w:rPr>
              <w:t>Healthcare</w:t>
            </w:r>
          </w:p>
        </w:tc>
        <w:tc>
          <w:tcPr>
            <w:tcW w:w="2340" w:type="dxa"/>
          </w:tcPr>
          <w:p w:rsidR="0074160F" w:rsidRPr="0074160F" w:rsidRDefault="0074160F" w:rsidP="00465744">
            <w:pPr>
              <w:cnfStyle w:val="000000000000" w:firstRow="0" w:lastRow="0" w:firstColumn="0" w:lastColumn="0" w:oddVBand="0" w:evenVBand="0" w:oddHBand="0" w:evenHBand="0" w:firstRowFirstColumn="0" w:firstRowLastColumn="0" w:lastRowFirstColumn="0" w:lastRowLastColumn="0"/>
              <w:rPr>
                <w:bCs/>
                <w:highlight w:val="yellow"/>
              </w:rPr>
            </w:pPr>
            <w:r w:rsidRPr="0074160F">
              <w:rPr>
                <w:bCs/>
                <w:highlight w:val="yellow"/>
              </w:rPr>
              <w:t>HLTH</w:t>
            </w:r>
          </w:p>
        </w:tc>
        <w:tc>
          <w:tcPr>
            <w:tcW w:w="3870" w:type="dxa"/>
          </w:tcPr>
          <w:p w:rsidR="0074160F" w:rsidRPr="001840CC" w:rsidRDefault="008E3416" w:rsidP="00465744">
            <w:pPr>
              <w:cnfStyle w:val="000000000000" w:firstRow="0" w:lastRow="0" w:firstColumn="0" w:lastColumn="0" w:oddVBand="0" w:evenVBand="0" w:oddHBand="0" w:evenHBand="0" w:firstRowFirstColumn="0" w:firstRowLastColumn="0" w:lastRowFirstColumn="0" w:lastRowLastColumn="0"/>
              <w:rPr>
                <w:bCs/>
              </w:rPr>
            </w:pPr>
            <w:hyperlink r:id="rId8" w:tooltip="Health Care and Biosciences" w:history="1">
              <w:r w:rsidR="0074160F" w:rsidRPr="0074160F">
                <w:rPr>
                  <w:rStyle w:val="Hyperlink"/>
                  <w:rFonts w:ascii="inherit" w:hAnsi="inherit" w:cs="Helvetica"/>
                  <w:highlight w:val="yellow"/>
                  <w:lang w:val="en"/>
                </w:rPr>
                <w:t>Health Care and Biosciences</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465744">
            <w:pPr>
              <w:rPr>
                <w:b w:val="0"/>
                <w:bCs w:val="0"/>
              </w:rPr>
            </w:pPr>
            <w:r>
              <w:rPr>
                <w:b w:val="0"/>
                <w:bCs w:val="0"/>
              </w:rPr>
              <w:t>STEM</w:t>
            </w:r>
          </w:p>
        </w:tc>
        <w:tc>
          <w:tcPr>
            <w:tcW w:w="2340" w:type="dxa"/>
          </w:tcPr>
          <w:p w:rsidR="0074160F" w:rsidRPr="001840CC" w:rsidRDefault="0074160F" w:rsidP="00465744">
            <w:pPr>
              <w:cnfStyle w:val="000000000000" w:firstRow="0" w:lastRow="0" w:firstColumn="0" w:lastColumn="0" w:oddVBand="0" w:evenVBand="0" w:oddHBand="0" w:evenHBand="0" w:firstRowFirstColumn="0" w:firstRowLastColumn="0" w:lastRowFirstColumn="0" w:lastRowLastColumn="0"/>
              <w:rPr>
                <w:bCs/>
              </w:rPr>
            </w:pPr>
            <w:r>
              <w:rPr>
                <w:bCs/>
              </w:rPr>
              <w:t>STEM</w:t>
            </w:r>
          </w:p>
        </w:tc>
        <w:tc>
          <w:tcPr>
            <w:tcW w:w="3870" w:type="dxa"/>
          </w:tcPr>
          <w:p w:rsidR="0074160F" w:rsidRDefault="008E3416" w:rsidP="00465744">
            <w:pPr>
              <w:cnfStyle w:val="000000000000" w:firstRow="0" w:lastRow="0" w:firstColumn="0" w:lastColumn="0" w:oddVBand="0" w:evenVBand="0" w:oddHBand="0" w:evenHBand="0" w:firstRowFirstColumn="0" w:firstRowLastColumn="0" w:lastRowFirstColumn="0" w:lastRowLastColumn="0"/>
              <w:rPr>
                <w:bCs/>
              </w:rPr>
            </w:pPr>
            <w:hyperlink r:id="rId9" w:tooltip="Science, Technology and Engineering" w:history="1">
              <w:r w:rsidR="0074160F">
                <w:rPr>
                  <w:rStyle w:val="Hyperlink"/>
                  <w:rFonts w:ascii="inherit" w:hAnsi="inherit" w:cs="Helvetica"/>
                  <w:lang w:val="en"/>
                </w:rPr>
                <w:t>Science, Technology and Engineering</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Arts and communication</w:t>
            </w:r>
          </w:p>
        </w:tc>
        <w:tc>
          <w:tcPr>
            <w:tcW w:w="2340" w:type="dxa"/>
          </w:tcPr>
          <w:p w:rsidR="0074160F" w:rsidRPr="001840CC" w:rsidRDefault="0074160F" w:rsidP="00465744">
            <w:pPr>
              <w:cnfStyle w:val="000000000000" w:firstRow="0" w:lastRow="0" w:firstColumn="0" w:lastColumn="0" w:oddVBand="0" w:evenVBand="0" w:oddHBand="0" w:evenHBand="0" w:firstRowFirstColumn="0" w:firstRowLastColumn="0" w:lastRowFirstColumn="0" w:lastRowLastColumn="0"/>
              <w:rPr>
                <w:bCs/>
              </w:rPr>
            </w:pPr>
            <w:r w:rsidRPr="001840CC">
              <w:rPr>
                <w:bCs/>
              </w:rPr>
              <w:t>ACOM</w:t>
            </w:r>
          </w:p>
        </w:tc>
        <w:tc>
          <w:tcPr>
            <w:tcW w:w="3870" w:type="dxa"/>
          </w:tcPr>
          <w:p w:rsidR="0074160F" w:rsidRPr="001840CC" w:rsidRDefault="008E3416" w:rsidP="00465744">
            <w:pPr>
              <w:cnfStyle w:val="000000000000" w:firstRow="0" w:lastRow="0" w:firstColumn="0" w:lastColumn="0" w:oddVBand="0" w:evenVBand="0" w:oddHBand="0" w:evenHBand="0" w:firstRowFirstColumn="0" w:firstRowLastColumn="0" w:lastRowFirstColumn="0" w:lastRowLastColumn="0"/>
              <w:rPr>
                <w:bCs/>
              </w:rPr>
            </w:pPr>
            <w:hyperlink r:id="rId10" w:tooltip="Creative and Communication Arts" w:history="1">
              <w:r w:rsidR="0074160F">
                <w:rPr>
                  <w:rStyle w:val="Hyperlink"/>
                  <w:rFonts w:ascii="inherit" w:hAnsi="inherit" w:cs="Helvetica"/>
                  <w:lang w:val="en"/>
                </w:rPr>
                <w:t>Creative and Communication Arts</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Humanities</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HUMA</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Arts, humanities, and communication</w:t>
            </w:r>
          </w:p>
        </w:tc>
        <w:tc>
          <w:tcPr>
            <w:tcW w:w="234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AHCM</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Manufacturing and trades</w:t>
            </w:r>
          </w:p>
        </w:tc>
        <w:tc>
          <w:tcPr>
            <w:tcW w:w="2340" w:type="dxa"/>
          </w:tcPr>
          <w:p w:rsidR="0074160F" w:rsidRPr="001840CC"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MATR</w:t>
            </w:r>
          </w:p>
        </w:tc>
        <w:tc>
          <w:tcPr>
            <w:tcW w:w="3870" w:type="dxa"/>
          </w:tcPr>
          <w:p w:rsidR="0074160F" w:rsidRDefault="008E3416" w:rsidP="00D47C62">
            <w:pPr>
              <w:cnfStyle w:val="000000000000" w:firstRow="0" w:lastRow="0" w:firstColumn="0" w:lastColumn="0" w:oddVBand="0" w:evenVBand="0" w:oddHBand="0" w:evenHBand="0" w:firstRowFirstColumn="0" w:firstRowLastColumn="0" w:lastRowFirstColumn="0" w:lastRowLastColumn="0"/>
              <w:rPr>
                <w:bCs/>
              </w:rPr>
            </w:pPr>
            <w:hyperlink r:id="rId11" w:tooltip="Advanced Manufacturing and Mechanical" w:history="1">
              <w:r w:rsidR="0074160F">
                <w:rPr>
                  <w:rStyle w:val="Hyperlink"/>
                  <w:rFonts w:ascii="inherit" w:hAnsi="inherit" w:cs="Helvetica"/>
                  <w:lang w:val="en"/>
                </w:rPr>
                <w:t>Advanced Manufacturing and Mechanical</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Aerospace</w:t>
            </w:r>
          </w:p>
        </w:tc>
        <w:tc>
          <w:tcPr>
            <w:tcW w:w="234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AERO</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Manufacturing and aerospace</w:t>
            </w:r>
          </w:p>
        </w:tc>
        <w:tc>
          <w:tcPr>
            <w:tcW w:w="2340" w:type="dxa"/>
          </w:tcPr>
          <w:p w:rsidR="0074160F" w:rsidRPr="001840CC"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MAAR</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Automotive and trades</w:t>
            </w:r>
          </w:p>
        </w:tc>
        <w:tc>
          <w:tcPr>
            <w:tcW w:w="234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TRAD</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Education</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EDUC</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lastRenderedPageBreak/>
              <w:t>Social and behavioral science</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SOCS</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Public services</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PBSV</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Social science and public service</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SSPS</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Social services and education</w:t>
            </w:r>
          </w:p>
        </w:tc>
        <w:tc>
          <w:tcPr>
            <w:tcW w:w="234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SSED</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Education, social science, and public services</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sidRPr="00C00B8E">
              <w:rPr>
                <w:bCs/>
              </w:rPr>
              <w:t>ED</w:t>
            </w:r>
            <w:r>
              <w:rPr>
                <w:bCs/>
              </w:rPr>
              <w:t>SP</w:t>
            </w:r>
          </w:p>
        </w:tc>
        <w:tc>
          <w:tcPr>
            <w:tcW w:w="3870" w:type="dxa"/>
          </w:tcPr>
          <w:p w:rsidR="0074160F" w:rsidRPr="00C00B8E" w:rsidRDefault="008E3416" w:rsidP="00D47C62">
            <w:pPr>
              <w:cnfStyle w:val="000000000000" w:firstRow="0" w:lastRow="0" w:firstColumn="0" w:lastColumn="0" w:oddVBand="0" w:evenVBand="0" w:oddHBand="0" w:evenHBand="0" w:firstRowFirstColumn="0" w:firstRowLastColumn="0" w:lastRowFirstColumn="0" w:lastRowLastColumn="0"/>
              <w:rPr>
                <w:bCs/>
              </w:rPr>
            </w:pPr>
            <w:hyperlink r:id="rId12" w:tooltip="Public Service, Society and Education" w:history="1">
              <w:r w:rsidR="0074160F">
                <w:rPr>
                  <w:rStyle w:val="Hyperlink"/>
                  <w:rFonts w:ascii="inherit" w:hAnsi="inherit" w:cs="Helvetica"/>
                  <w:lang w:val="en"/>
                </w:rPr>
                <w:t>Public Service, Society and Education</w:t>
              </w:r>
            </w:hyperlink>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Transportation</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TRAN</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Hospitality</w:t>
            </w:r>
          </w:p>
        </w:tc>
        <w:tc>
          <w:tcPr>
            <w:tcW w:w="2340" w:type="dxa"/>
          </w:tcPr>
          <w:p w:rsidR="0074160F" w:rsidRPr="00C00B8E"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HOSP</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r w:rsidR="0074160F" w:rsidTr="00B67C71">
        <w:tc>
          <w:tcPr>
            <w:cnfStyle w:val="001000000000" w:firstRow="0" w:lastRow="0" w:firstColumn="1" w:lastColumn="0" w:oddVBand="0" w:evenVBand="0" w:oddHBand="0" w:evenHBand="0" w:firstRowFirstColumn="0" w:firstRowLastColumn="0" w:lastRowFirstColumn="0" w:lastRowLastColumn="0"/>
            <w:tcW w:w="4045" w:type="dxa"/>
          </w:tcPr>
          <w:p w:rsidR="0074160F" w:rsidRDefault="0074160F" w:rsidP="00D47C62">
            <w:pPr>
              <w:rPr>
                <w:b w:val="0"/>
                <w:bCs w:val="0"/>
              </w:rPr>
            </w:pPr>
            <w:r>
              <w:rPr>
                <w:b w:val="0"/>
                <w:bCs w:val="0"/>
              </w:rPr>
              <w:t>Exploratory</w:t>
            </w:r>
          </w:p>
        </w:tc>
        <w:tc>
          <w:tcPr>
            <w:tcW w:w="234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r>
              <w:rPr>
                <w:bCs/>
              </w:rPr>
              <w:t>EXPL</w:t>
            </w:r>
          </w:p>
        </w:tc>
        <w:tc>
          <w:tcPr>
            <w:tcW w:w="3870" w:type="dxa"/>
          </w:tcPr>
          <w:p w:rsidR="0074160F" w:rsidRDefault="0074160F" w:rsidP="00D47C62">
            <w:pPr>
              <w:cnfStyle w:val="000000000000" w:firstRow="0" w:lastRow="0" w:firstColumn="0" w:lastColumn="0" w:oddVBand="0" w:evenVBand="0" w:oddHBand="0" w:evenHBand="0" w:firstRowFirstColumn="0" w:firstRowLastColumn="0" w:lastRowFirstColumn="0" w:lastRowLastColumn="0"/>
              <w:rPr>
                <w:bCs/>
              </w:rPr>
            </w:pPr>
          </w:p>
        </w:tc>
      </w:tr>
    </w:tbl>
    <w:p w:rsidR="00B67C71" w:rsidRDefault="00B67C71" w:rsidP="00187892">
      <w:pPr>
        <w:rPr>
          <w:b/>
        </w:rPr>
      </w:pPr>
    </w:p>
    <w:p w:rsidR="00230514" w:rsidRPr="00230514" w:rsidRDefault="00230514" w:rsidP="00187892">
      <w:pPr>
        <w:rPr>
          <w:b/>
        </w:rPr>
      </w:pPr>
      <w:r>
        <w:rPr>
          <w:b/>
        </w:rPr>
        <w:t>2. One-to-one relationship between meta</w:t>
      </w:r>
      <w:r w:rsidR="00B67C71">
        <w:rPr>
          <w:b/>
        </w:rPr>
        <w:t>-</w:t>
      </w:r>
      <w:r>
        <w:rPr>
          <w:b/>
        </w:rPr>
        <w:t>major and education program code</w:t>
      </w:r>
    </w:p>
    <w:p w:rsidR="00187892" w:rsidRDefault="00187892" w:rsidP="00187892">
      <w:r>
        <w:t xml:space="preserve">In order to implement the many-to-many logical relationship between educational programs and </w:t>
      </w:r>
      <w:r w:rsidR="00453E3C">
        <w:t>meta</w:t>
      </w:r>
      <w:r w:rsidR="00B67C71">
        <w:t>-</w:t>
      </w:r>
      <w:r w:rsidR="00453E3C">
        <w:t xml:space="preserve">major </w:t>
      </w:r>
      <w:r>
        <w:t>pathways, colleges will need to split some educational programs into two or more parts, using either the fourth digit of career and technical education program codes or different alpha codes for academic educational programs</w:t>
      </w:r>
      <w:r w:rsidRPr="00A83A0D">
        <w:t xml:space="preserve">.  For example, if a college has decided to put their AA-DTA, as the most common transfer degree, into three meta-majors – </w:t>
      </w:r>
      <w:r w:rsidR="00453E3C" w:rsidRPr="00A83A0D">
        <w:t>Arts/</w:t>
      </w:r>
      <w:r w:rsidR="00A83A0D" w:rsidRPr="00A83A0D">
        <w:t>Communication</w:t>
      </w:r>
      <w:r w:rsidRPr="00A83A0D">
        <w:t>; Education</w:t>
      </w:r>
      <w:r w:rsidR="00A83A0D" w:rsidRPr="00A83A0D">
        <w:t>, Social Science, and Public Service</w:t>
      </w:r>
      <w:r w:rsidRPr="00A83A0D">
        <w:t>; and Healthcare, the college would create three educational program codes as follows:</w:t>
      </w:r>
    </w:p>
    <w:tbl>
      <w:tblPr>
        <w:tblStyle w:val="GridTable1Light"/>
        <w:tblW w:w="0" w:type="auto"/>
        <w:tblLook w:val="04A0" w:firstRow="1" w:lastRow="0" w:firstColumn="1" w:lastColumn="0" w:noHBand="0" w:noVBand="1"/>
      </w:tblPr>
      <w:tblGrid>
        <w:gridCol w:w="1453"/>
        <w:gridCol w:w="2145"/>
        <w:gridCol w:w="3862"/>
        <w:gridCol w:w="1980"/>
      </w:tblGrid>
      <w:tr w:rsidR="00A83A0D" w:rsidTr="00B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hideMark/>
          </w:tcPr>
          <w:p w:rsidR="00A83A0D" w:rsidRDefault="00A83A0D" w:rsidP="000A47AF">
            <w:pPr>
              <w:rPr>
                <w:b w:val="0"/>
                <w:bCs w:val="0"/>
              </w:rPr>
            </w:pPr>
            <w:r>
              <w:t>EPC</w:t>
            </w:r>
          </w:p>
        </w:tc>
        <w:tc>
          <w:tcPr>
            <w:tcW w:w="2145" w:type="dxa"/>
            <w:hideMark/>
          </w:tcPr>
          <w:p w:rsidR="00A83A0D" w:rsidRDefault="00A83A0D" w:rsidP="000A47AF">
            <w:pPr>
              <w:cnfStyle w:val="100000000000" w:firstRow="1" w:lastRow="0" w:firstColumn="0" w:lastColumn="0" w:oddVBand="0" w:evenVBand="0" w:oddHBand="0" w:evenHBand="0" w:firstRowFirstColumn="0" w:firstRowLastColumn="0" w:lastRowFirstColumn="0" w:lastRowLastColumn="0"/>
              <w:rPr>
                <w:b w:val="0"/>
                <w:bCs w:val="0"/>
              </w:rPr>
            </w:pPr>
            <w:r>
              <w:t>Degree Title</w:t>
            </w:r>
          </w:p>
        </w:tc>
        <w:tc>
          <w:tcPr>
            <w:tcW w:w="3862" w:type="dxa"/>
            <w:hideMark/>
          </w:tcPr>
          <w:p w:rsidR="00A83A0D" w:rsidRDefault="00A83A0D" w:rsidP="000A47AF">
            <w:pPr>
              <w:cnfStyle w:val="100000000000" w:firstRow="1" w:lastRow="0" w:firstColumn="0" w:lastColumn="0" w:oddVBand="0" w:evenVBand="0" w:oddHBand="0" w:evenHBand="0" w:firstRowFirstColumn="0" w:firstRowLastColumn="0" w:lastRowFirstColumn="0" w:lastRowLastColumn="0"/>
              <w:rPr>
                <w:b w:val="0"/>
                <w:bCs w:val="0"/>
              </w:rPr>
            </w:pPr>
            <w:r>
              <w:t>Program Title</w:t>
            </w:r>
          </w:p>
        </w:tc>
        <w:tc>
          <w:tcPr>
            <w:tcW w:w="1980" w:type="dxa"/>
            <w:hideMark/>
          </w:tcPr>
          <w:p w:rsidR="00A83A0D" w:rsidRDefault="00B67C71" w:rsidP="00B67C71">
            <w:pPr>
              <w:cnfStyle w:val="100000000000" w:firstRow="1" w:lastRow="0" w:firstColumn="0" w:lastColumn="0" w:oddVBand="0" w:evenVBand="0" w:oddHBand="0" w:evenHBand="0" w:firstRowFirstColumn="0" w:firstRowLastColumn="0" w:lastRowFirstColumn="0" w:lastRowLastColumn="0"/>
              <w:rPr>
                <w:b w:val="0"/>
                <w:bCs w:val="0"/>
              </w:rPr>
            </w:pPr>
            <w:r>
              <w:t>Global m</w:t>
            </w:r>
            <w:r w:rsidR="00A83A0D">
              <w:t>eta-major</w:t>
            </w:r>
          </w:p>
        </w:tc>
      </w:tr>
      <w:tr w:rsidR="00A83A0D" w:rsidTr="00B67C71">
        <w:tc>
          <w:tcPr>
            <w:cnfStyle w:val="001000000000" w:firstRow="0" w:lastRow="0" w:firstColumn="1" w:lastColumn="0" w:oddVBand="0" w:evenVBand="0" w:oddHBand="0" w:evenHBand="0" w:firstRowFirstColumn="0" w:firstRowLastColumn="0" w:lastRowFirstColumn="0" w:lastRowLastColumn="0"/>
            <w:tcW w:w="1453" w:type="dxa"/>
            <w:hideMark/>
          </w:tcPr>
          <w:p w:rsidR="00A83A0D" w:rsidRPr="00B67C71" w:rsidRDefault="00A83A0D" w:rsidP="000A47AF">
            <w:pPr>
              <w:rPr>
                <w:b w:val="0"/>
                <w:bCs w:val="0"/>
              </w:rPr>
            </w:pPr>
            <w:r w:rsidRPr="00B67C71">
              <w:rPr>
                <w:b w:val="0"/>
              </w:rPr>
              <w:t>AACC</w:t>
            </w:r>
          </w:p>
        </w:tc>
        <w:tc>
          <w:tcPr>
            <w:tcW w:w="2145"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Associate in Arts DTA</w:t>
            </w:r>
          </w:p>
        </w:tc>
        <w:tc>
          <w:tcPr>
            <w:tcW w:w="3862"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 xml:space="preserve">AA/DTA – </w:t>
            </w:r>
            <w:proofErr w:type="spellStart"/>
            <w:r>
              <w:t>Creat</w:t>
            </w:r>
            <w:proofErr w:type="spellEnd"/>
            <w:r>
              <w:t xml:space="preserve"> &amp; </w:t>
            </w:r>
            <w:proofErr w:type="spellStart"/>
            <w:r>
              <w:t>Comm</w:t>
            </w:r>
            <w:proofErr w:type="spellEnd"/>
            <w:r>
              <w:t xml:space="preserve"> Arts</w:t>
            </w:r>
          </w:p>
        </w:tc>
        <w:tc>
          <w:tcPr>
            <w:tcW w:w="1980"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ACOM</w:t>
            </w:r>
          </w:p>
        </w:tc>
      </w:tr>
      <w:tr w:rsidR="00A83A0D" w:rsidTr="00B67C71">
        <w:tc>
          <w:tcPr>
            <w:cnfStyle w:val="001000000000" w:firstRow="0" w:lastRow="0" w:firstColumn="1" w:lastColumn="0" w:oddVBand="0" w:evenVBand="0" w:oddHBand="0" w:evenHBand="0" w:firstRowFirstColumn="0" w:firstRowLastColumn="0" w:lastRowFirstColumn="0" w:lastRowLastColumn="0"/>
            <w:tcW w:w="1453" w:type="dxa"/>
            <w:hideMark/>
          </w:tcPr>
          <w:p w:rsidR="00A83A0D" w:rsidRPr="00B67C71" w:rsidRDefault="00A83A0D" w:rsidP="000A47AF">
            <w:pPr>
              <w:rPr>
                <w:b w:val="0"/>
                <w:bCs w:val="0"/>
              </w:rPr>
            </w:pPr>
            <w:r w:rsidRPr="00B67C71">
              <w:rPr>
                <w:b w:val="0"/>
              </w:rPr>
              <w:t>AAPS</w:t>
            </w:r>
          </w:p>
        </w:tc>
        <w:tc>
          <w:tcPr>
            <w:tcW w:w="2145"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Associate in Arts DTA</w:t>
            </w:r>
          </w:p>
        </w:tc>
        <w:tc>
          <w:tcPr>
            <w:tcW w:w="3862"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 xml:space="preserve">AA/DTA – Pub </w:t>
            </w:r>
            <w:proofErr w:type="spellStart"/>
            <w:r>
              <w:t>Serv</w:t>
            </w:r>
            <w:proofErr w:type="spellEnd"/>
          </w:p>
        </w:tc>
        <w:tc>
          <w:tcPr>
            <w:tcW w:w="1980"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EDSP</w:t>
            </w:r>
          </w:p>
        </w:tc>
      </w:tr>
      <w:tr w:rsidR="00A83A0D" w:rsidTr="00B67C71">
        <w:tc>
          <w:tcPr>
            <w:cnfStyle w:val="001000000000" w:firstRow="0" w:lastRow="0" w:firstColumn="1" w:lastColumn="0" w:oddVBand="0" w:evenVBand="0" w:oddHBand="0" w:evenHBand="0" w:firstRowFirstColumn="0" w:firstRowLastColumn="0" w:lastRowFirstColumn="0" w:lastRowLastColumn="0"/>
            <w:tcW w:w="1453" w:type="dxa"/>
            <w:hideMark/>
          </w:tcPr>
          <w:p w:rsidR="00A83A0D" w:rsidRPr="00B67C71" w:rsidRDefault="00A83A0D" w:rsidP="000A47AF">
            <w:pPr>
              <w:rPr>
                <w:b w:val="0"/>
                <w:bCs w:val="0"/>
              </w:rPr>
            </w:pPr>
            <w:r w:rsidRPr="00B67C71">
              <w:rPr>
                <w:b w:val="0"/>
              </w:rPr>
              <w:t>AAHB</w:t>
            </w:r>
          </w:p>
        </w:tc>
        <w:tc>
          <w:tcPr>
            <w:tcW w:w="2145"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Associate in Arts DTA</w:t>
            </w:r>
          </w:p>
        </w:tc>
        <w:tc>
          <w:tcPr>
            <w:tcW w:w="3862"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AA/DTA – Health &amp; Bioscience</w:t>
            </w:r>
          </w:p>
        </w:tc>
        <w:tc>
          <w:tcPr>
            <w:tcW w:w="1980" w:type="dxa"/>
            <w:hideMark/>
          </w:tcPr>
          <w:p w:rsidR="00A83A0D" w:rsidRDefault="00A83A0D" w:rsidP="000A47AF">
            <w:pPr>
              <w:cnfStyle w:val="000000000000" w:firstRow="0" w:lastRow="0" w:firstColumn="0" w:lastColumn="0" w:oddVBand="0" w:evenVBand="0" w:oddHBand="0" w:evenHBand="0" w:firstRowFirstColumn="0" w:firstRowLastColumn="0" w:lastRowFirstColumn="0" w:lastRowLastColumn="0"/>
            </w:pPr>
            <w:r>
              <w:t>HLTH</w:t>
            </w:r>
          </w:p>
        </w:tc>
      </w:tr>
    </w:tbl>
    <w:p w:rsidR="00187892" w:rsidRDefault="00187892" w:rsidP="00187892">
      <w:pPr>
        <w:rPr>
          <w:rFonts w:ascii="Calibri" w:hAnsi="Calibri" w:cs="Calibri"/>
        </w:rPr>
      </w:pPr>
    </w:p>
    <w:p w:rsidR="008E4903" w:rsidRDefault="008E4903" w:rsidP="00187892">
      <w:pPr>
        <w:rPr>
          <w:rFonts w:ascii="Calibri" w:hAnsi="Calibri" w:cs="Calibri"/>
        </w:rPr>
      </w:pPr>
    </w:p>
    <w:sectPr w:rsidR="008E4903" w:rsidSect="00187892">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16" w:rsidRDefault="008E3416" w:rsidP="00187892">
      <w:pPr>
        <w:spacing w:after="0" w:line="240" w:lineRule="auto"/>
      </w:pPr>
      <w:r>
        <w:separator/>
      </w:r>
    </w:p>
  </w:endnote>
  <w:endnote w:type="continuationSeparator" w:id="0">
    <w:p w:rsidR="008E3416" w:rsidRDefault="008E3416" w:rsidP="0018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2C" w:rsidRPr="004A3A2C" w:rsidRDefault="008E4903">
    <w:pPr>
      <w:pStyle w:val="Footer"/>
      <w:rPr>
        <w:i/>
      </w:rPr>
    </w:pPr>
    <w:r>
      <w:rPr>
        <w:i/>
      </w:rPr>
      <w:t>October 1, 2018</w:t>
    </w:r>
  </w:p>
  <w:p w:rsidR="00187892" w:rsidRDefault="001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16" w:rsidRDefault="008E3416" w:rsidP="00187892">
      <w:pPr>
        <w:spacing w:after="0" w:line="240" w:lineRule="auto"/>
      </w:pPr>
      <w:r>
        <w:separator/>
      </w:r>
    </w:p>
  </w:footnote>
  <w:footnote w:type="continuationSeparator" w:id="0">
    <w:p w:rsidR="008E3416" w:rsidRDefault="008E3416" w:rsidP="0018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62169"/>
      <w:docPartObj>
        <w:docPartGallery w:val="Watermarks"/>
        <w:docPartUnique/>
      </w:docPartObj>
    </w:sdtPr>
    <w:sdtEndPr/>
    <w:sdtContent>
      <w:p w:rsidR="00465744" w:rsidRDefault="008E3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A7"/>
    <w:multiLevelType w:val="hybridMultilevel"/>
    <w:tmpl w:val="84B4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925AC"/>
    <w:multiLevelType w:val="hybridMultilevel"/>
    <w:tmpl w:val="4ED6C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9"/>
  </w:num>
  <w:num w:numId="5">
    <w:abstractNumId w:val="8"/>
  </w:num>
  <w:num w:numId="6">
    <w:abstractNumId w:val="2"/>
  </w:num>
  <w:num w:numId="7">
    <w:abstractNumId w:val="21"/>
  </w:num>
  <w:num w:numId="8">
    <w:abstractNumId w:val="16"/>
  </w:num>
  <w:num w:numId="9">
    <w:abstractNumId w:val="19"/>
  </w:num>
  <w:num w:numId="10">
    <w:abstractNumId w:val="18"/>
  </w:num>
  <w:num w:numId="11">
    <w:abstractNumId w:val="14"/>
  </w:num>
  <w:num w:numId="12">
    <w:abstractNumId w:val="7"/>
  </w:num>
  <w:num w:numId="13">
    <w:abstractNumId w:val="15"/>
  </w:num>
  <w:num w:numId="14">
    <w:abstractNumId w:val="3"/>
  </w:num>
  <w:num w:numId="15">
    <w:abstractNumId w:val="17"/>
  </w:num>
  <w:num w:numId="16">
    <w:abstractNumId w:val="11"/>
  </w:num>
  <w:num w:numId="17">
    <w:abstractNumId w:val="13"/>
  </w:num>
  <w:num w:numId="18">
    <w:abstractNumId w:val="10"/>
  </w:num>
  <w:num w:numId="19">
    <w:abstractNumId w:val="12"/>
  </w:num>
  <w:num w:numId="20">
    <w:abstractNumId w:val="5"/>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2"/>
    <w:rsid w:val="001840CC"/>
    <w:rsid w:val="00187892"/>
    <w:rsid w:val="001D0793"/>
    <w:rsid w:val="00230514"/>
    <w:rsid w:val="002B0036"/>
    <w:rsid w:val="00371469"/>
    <w:rsid w:val="004206BB"/>
    <w:rsid w:val="00453E3C"/>
    <w:rsid w:val="00465744"/>
    <w:rsid w:val="004A3A2C"/>
    <w:rsid w:val="005560AB"/>
    <w:rsid w:val="00683E71"/>
    <w:rsid w:val="0074160F"/>
    <w:rsid w:val="007D1F17"/>
    <w:rsid w:val="008E3416"/>
    <w:rsid w:val="008E4903"/>
    <w:rsid w:val="00A727CE"/>
    <w:rsid w:val="00A83A0D"/>
    <w:rsid w:val="00B21F88"/>
    <w:rsid w:val="00B67C71"/>
    <w:rsid w:val="00C00B8E"/>
    <w:rsid w:val="00CF2D10"/>
    <w:rsid w:val="00D47C62"/>
    <w:rsid w:val="00DF097E"/>
    <w:rsid w:val="00E47838"/>
    <w:rsid w:val="00E97927"/>
    <w:rsid w:val="00F5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FB63F"/>
  <w15:chartTrackingRefBased/>
  <w15:docId w15:val="{0BB91282-0434-4774-9E1B-8270228B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92"/>
  </w:style>
  <w:style w:type="paragraph" w:styleId="Heading1">
    <w:name w:val="heading 1"/>
    <w:basedOn w:val="Normal"/>
    <w:next w:val="Normal"/>
    <w:link w:val="Heading1Char"/>
    <w:uiPriority w:val="9"/>
    <w:qFormat/>
    <w:rsid w:val="00187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8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78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8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92"/>
  </w:style>
  <w:style w:type="paragraph" w:styleId="Footer">
    <w:name w:val="footer"/>
    <w:basedOn w:val="Normal"/>
    <w:link w:val="FooterChar"/>
    <w:uiPriority w:val="99"/>
    <w:unhideWhenUsed/>
    <w:rsid w:val="0018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92"/>
  </w:style>
  <w:style w:type="paragraph" w:styleId="NoSpacing">
    <w:name w:val="No Spacing"/>
    <w:link w:val="NoSpacingChar"/>
    <w:uiPriority w:val="1"/>
    <w:qFormat/>
    <w:rsid w:val="00187892"/>
    <w:pPr>
      <w:spacing w:after="0" w:line="240" w:lineRule="auto"/>
    </w:pPr>
    <w:rPr>
      <w:rFonts w:eastAsiaTheme="minorEastAsia"/>
    </w:rPr>
  </w:style>
  <w:style w:type="character" w:customStyle="1" w:styleId="NoSpacingChar">
    <w:name w:val="No Spacing Char"/>
    <w:basedOn w:val="DefaultParagraphFont"/>
    <w:link w:val="NoSpacing"/>
    <w:uiPriority w:val="1"/>
    <w:rsid w:val="00187892"/>
    <w:rPr>
      <w:rFonts w:eastAsiaTheme="minorEastAsia"/>
    </w:rPr>
  </w:style>
  <w:style w:type="paragraph" w:styleId="ListParagraph">
    <w:name w:val="List Paragraph"/>
    <w:basedOn w:val="Normal"/>
    <w:uiPriority w:val="34"/>
    <w:qFormat/>
    <w:rsid w:val="00187892"/>
    <w:pPr>
      <w:ind w:left="720"/>
      <w:contextualSpacing/>
    </w:pPr>
  </w:style>
  <w:style w:type="table" w:styleId="TableGrid">
    <w:name w:val="Table Grid"/>
    <w:basedOn w:val="TableNormal"/>
    <w:uiPriority w:val="39"/>
    <w:rsid w:val="0018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878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87892"/>
    <w:rPr>
      <w:color w:val="808080"/>
    </w:rPr>
  </w:style>
  <w:style w:type="paragraph" w:styleId="TOCHeading">
    <w:name w:val="TOC Heading"/>
    <w:basedOn w:val="Heading1"/>
    <w:next w:val="Normal"/>
    <w:uiPriority w:val="39"/>
    <w:unhideWhenUsed/>
    <w:qFormat/>
    <w:rsid w:val="00187892"/>
    <w:pPr>
      <w:outlineLvl w:val="9"/>
    </w:pPr>
  </w:style>
  <w:style w:type="paragraph" w:styleId="TOC1">
    <w:name w:val="toc 1"/>
    <w:basedOn w:val="Normal"/>
    <w:next w:val="Normal"/>
    <w:autoRedefine/>
    <w:uiPriority w:val="39"/>
    <w:unhideWhenUsed/>
    <w:rsid w:val="00187892"/>
    <w:pPr>
      <w:spacing w:after="100"/>
    </w:pPr>
  </w:style>
  <w:style w:type="character" w:styleId="Hyperlink">
    <w:name w:val="Hyperlink"/>
    <w:basedOn w:val="DefaultParagraphFont"/>
    <w:uiPriority w:val="99"/>
    <w:unhideWhenUsed/>
    <w:rsid w:val="00187892"/>
    <w:rPr>
      <w:color w:val="0563C1" w:themeColor="hyperlink"/>
      <w:u w:val="single"/>
    </w:rPr>
  </w:style>
  <w:style w:type="paragraph" w:styleId="TOC2">
    <w:name w:val="toc 2"/>
    <w:basedOn w:val="Normal"/>
    <w:next w:val="Normal"/>
    <w:autoRedefine/>
    <w:uiPriority w:val="39"/>
    <w:unhideWhenUsed/>
    <w:rsid w:val="00187892"/>
    <w:pPr>
      <w:spacing w:after="100"/>
      <w:ind w:left="220"/>
    </w:pPr>
  </w:style>
  <w:style w:type="paragraph" w:styleId="Title">
    <w:name w:val="Title"/>
    <w:basedOn w:val="Normal"/>
    <w:next w:val="Normal"/>
    <w:link w:val="TitleChar"/>
    <w:uiPriority w:val="10"/>
    <w:qFormat/>
    <w:rsid w:val="00187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89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87892"/>
    <w:rPr>
      <w:color w:val="954F72" w:themeColor="followedHyperlink"/>
      <w:u w:val="single"/>
    </w:rPr>
  </w:style>
  <w:style w:type="paragraph" w:styleId="NormalWeb">
    <w:name w:val="Normal (Web)"/>
    <w:basedOn w:val="Normal"/>
    <w:uiPriority w:val="99"/>
    <w:semiHidden/>
    <w:unhideWhenUsed/>
    <w:rsid w:val="0018789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878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8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7892"/>
    <w:rPr>
      <w:sz w:val="16"/>
      <w:szCs w:val="16"/>
    </w:rPr>
  </w:style>
  <w:style w:type="paragraph" w:styleId="CommentText">
    <w:name w:val="annotation text"/>
    <w:basedOn w:val="Normal"/>
    <w:link w:val="CommentTextChar"/>
    <w:uiPriority w:val="99"/>
    <w:semiHidden/>
    <w:unhideWhenUsed/>
    <w:rsid w:val="00187892"/>
    <w:pPr>
      <w:spacing w:line="240" w:lineRule="auto"/>
    </w:pPr>
    <w:rPr>
      <w:sz w:val="20"/>
      <w:szCs w:val="20"/>
    </w:rPr>
  </w:style>
  <w:style w:type="character" w:customStyle="1" w:styleId="CommentTextChar">
    <w:name w:val="Comment Text Char"/>
    <w:basedOn w:val="DefaultParagraphFont"/>
    <w:link w:val="CommentText"/>
    <w:uiPriority w:val="99"/>
    <w:semiHidden/>
    <w:rsid w:val="00187892"/>
    <w:rPr>
      <w:sz w:val="20"/>
      <w:szCs w:val="20"/>
    </w:rPr>
  </w:style>
  <w:style w:type="paragraph" w:styleId="CommentSubject">
    <w:name w:val="annotation subject"/>
    <w:basedOn w:val="CommentText"/>
    <w:next w:val="CommentText"/>
    <w:link w:val="CommentSubjectChar"/>
    <w:uiPriority w:val="99"/>
    <w:semiHidden/>
    <w:unhideWhenUsed/>
    <w:rsid w:val="00187892"/>
    <w:rPr>
      <w:b/>
      <w:bCs/>
    </w:rPr>
  </w:style>
  <w:style w:type="character" w:customStyle="1" w:styleId="CommentSubjectChar">
    <w:name w:val="Comment Subject Char"/>
    <w:basedOn w:val="CommentTextChar"/>
    <w:link w:val="CommentSubject"/>
    <w:uiPriority w:val="99"/>
    <w:semiHidden/>
    <w:rsid w:val="00187892"/>
    <w:rPr>
      <w:b/>
      <w:bCs/>
      <w:sz w:val="20"/>
      <w:szCs w:val="20"/>
    </w:rPr>
  </w:style>
  <w:style w:type="paragraph" w:customStyle="1" w:styleId="msonormal0">
    <w:name w:val="msonormal"/>
    <w:basedOn w:val="Normal"/>
    <w:rsid w:val="00187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87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8789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87892"/>
    <w:pPr>
      <w:pBdr>
        <w:left w:val="single" w:sz="8" w:space="0" w:color="auto"/>
      </w:pBdr>
      <w:shd w:val="clear" w:color="000000" w:fill="808080"/>
      <w:spacing w:before="100" w:beforeAutospacing="1" w:after="100" w:afterAutospacing="1" w:line="240" w:lineRule="auto"/>
    </w:pPr>
    <w:rPr>
      <w:rFonts w:ascii="Times New Roman" w:eastAsia="Times New Roman" w:hAnsi="Times New Roman" w:cs="Times New Roman"/>
      <w:color w:val="FFFF00"/>
      <w:sz w:val="24"/>
      <w:szCs w:val="24"/>
    </w:rPr>
  </w:style>
  <w:style w:type="paragraph" w:customStyle="1" w:styleId="xl66">
    <w:name w:val="xl66"/>
    <w:basedOn w:val="Normal"/>
    <w:rsid w:val="0018789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8789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789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87892"/>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8789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8789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1878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878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8789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87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8789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87892"/>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187892"/>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187892"/>
    <w:pPr>
      <w:pBdr>
        <w:top w:val="single" w:sz="8"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187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453E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cademics/programs/health-care-and-biosciences/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rk.edu/academics/programs/business-and-entrepreneurship/index.php" TargetMode="External"/><Relationship Id="rId12" Type="http://schemas.openxmlformats.org/officeDocument/2006/relationships/hyperlink" Target="http://www.clark.edu/academics/programs/public-service-society-and-education/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k.edu/academics/programs/advanced-manufacturing-and-mechanical/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rk.edu/academics/programs/creative-and-communication-arts/index.php" TargetMode="External"/><Relationship Id="rId4" Type="http://schemas.openxmlformats.org/officeDocument/2006/relationships/webSettings" Target="webSettings.xml"/><Relationship Id="rId9" Type="http://schemas.openxmlformats.org/officeDocument/2006/relationships/hyperlink" Target="http://www.clark.edu/academics/programs/science-technology-and-engineering/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Marks</dc:creator>
  <cp:keywords/>
  <dc:description/>
  <cp:lastModifiedBy>Carmen McKenzie</cp:lastModifiedBy>
  <cp:revision>3</cp:revision>
  <dcterms:created xsi:type="dcterms:W3CDTF">2018-10-01T18:50:00Z</dcterms:created>
  <dcterms:modified xsi:type="dcterms:W3CDTF">2018-10-01T18:56:00Z</dcterms:modified>
</cp:coreProperties>
</file>