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97A9E" w14:textId="7EB1D33D" w:rsidR="00B23260" w:rsidRPr="00C31C88" w:rsidRDefault="00B23260" w:rsidP="00CB0EA1">
      <w:pPr>
        <w:jc w:val="center"/>
        <w:rPr>
          <w:rFonts w:ascii="Avenir Next Demi Bold" w:hAnsi="Avenir Next Demi Bold"/>
          <w:b/>
          <w:bCs/>
          <w:color w:val="42505A"/>
          <w:sz w:val="48"/>
          <w:szCs w:val="48"/>
        </w:rPr>
      </w:pPr>
      <w:r w:rsidRPr="00C31C88">
        <w:rPr>
          <w:rFonts w:ascii="Avenir Next Demi Bold" w:hAnsi="Avenir Next Demi Bold"/>
          <w:b/>
          <w:bCs/>
          <w:color w:val="42505A"/>
          <w:sz w:val="48"/>
          <w:szCs w:val="48"/>
        </w:rPr>
        <w:t>Announcing a Webinar:</w:t>
      </w:r>
    </w:p>
    <w:p w14:paraId="5BA4EEC1" w14:textId="52EBB96D" w:rsidR="00CB0EA1" w:rsidRPr="00C31C88" w:rsidRDefault="003906D3" w:rsidP="00CB0EA1">
      <w:pPr>
        <w:jc w:val="center"/>
        <w:rPr>
          <w:rFonts w:ascii="Avenir Next Demi Bold" w:hAnsi="Avenir Next Demi Bold"/>
          <w:b/>
          <w:bCs/>
          <w:color w:val="C45911" w:themeColor="accent2" w:themeShade="BF"/>
          <w:sz w:val="48"/>
          <w:szCs w:val="48"/>
        </w:rPr>
      </w:pPr>
      <w:r>
        <w:rPr>
          <w:rFonts w:ascii="Avenir Next Demi Bold" w:hAnsi="Avenir Next Demi Bold"/>
          <w:b/>
          <w:bCs/>
          <w:color w:val="C45911" w:themeColor="accent2" w:themeShade="BF"/>
          <w:sz w:val="48"/>
          <w:szCs w:val="48"/>
        </w:rPr>
        <w:t>Reviewing</w:t>
      </w:r>
      <w:r w:rsidR="00B23260" w:rsidRPr="00C31C88">
        <w:rPr>
          <w:rFonts w:ascii="Avenir Next Demi Bold" w:hAnsi="Avenir Next Demi Bold"/>
          <w:b/>
          <w:bCs/>
          <w:color w:val="C45911" w:themeColor="accent2" w:themeShade="BF"/>
          <w:sz w:val="48"/>
          <w:szCs w:val="48"/>
        </w:rPr>
        <w:t xml:space="preserve"> the Updated Smarter Balanced System Placement Agreement</w:t>
      </w:r>
    </w:p>
    <w:p w14:paraId="197AE635" w14:textId="77777777" w:rsidR="00630D2A" w:rsidRPr="00630D2A" w:rsidRDefault="00630D2A" w:rsidP="00590593">
      <w:pPr>
        <w:jc w:val="center"/>
        <w:rPr>
          <w:rFonts w:ascii="Avenir Next Demi Bold" w:hAnsi="Avenir Next Demi Bold"/>
          <w:b/>
          <w:bCs/>
          <w:sz w:val="20"/>
          <w:szCs w:val="20"/>
        </w:rPr>
      </w:pPr>
    </w:p>
    <w:p w14:paraId="796E932D" w14:textId="2DAF9A4E" w:rsidR="00A21DAE" w:rsidRPr="00726BE5" w:rsidRDefault="00D65382" w:rsidP="00590593">
      <w:pPr>
        <w:jc w:val="center"/>
        <w:rPr>
          <w:rFonts w:ascii="Avenir Next Demi Bold" w:hAnsi="Avenir Next Demi Bold"/>
          <w:b/>
          <w:bCs/>
          <w:sz w:val="36"/>
          <w:szCs w:val="36"/>
        </w:rPr>
      </w:pPr>
      <w:r>
        <w:rPr>
          <w:rFonts w:ascii="Avenir Next Demi Bold" w:hAnsi="Avenir Next Demi Bold"/>
          <w:b/>
          <w:bCs/>
          <w:sz w:val="36"/>
          <w:szCs w:val="36"/>
        </w:rPr>
        <w:t>October 16</w:t>
      </w:r>
      <w:r w:rsidR="00AE3CC0" w:rsidRPr="00726BE5">
        <w:rPr>
          <w:rFonts w:ascii="Avenir Next Demi Bold" w:hAnsi="Avenir Next Demi Bold"/>
          <w:b/>
          <w:bCs/>
          <w:sz w:val="36"/>
          <w:szCs w:val="36"/>
        </w:rPr>
        <w:t>, 2018</w:t>
      </w:r>
    </w:p>
    <w:p w14:paraId="437849E1" w14:textId="13731869" w:rsidR="00B23260" w:rsidRPr="00726BE5" w:rsidRDefault="00D65382" w:rsidP="00590593">
      <w:pPr>
        <w:jc w:val="center"/>
        <w:rPr>
          <w:rFonts w:ascii="Avenir Next Demi Bold" w:hAnsi="Avenir Next Demi Bold"/>
          <w:b/>
          <w:bCs/>
          <w:sz w:val="36"/>
          <w:szCs w:val="36"/>
        </w:rPr>
      </w:pPr>
      <w:r>
        <w:rPr>
          <w:rFonts w:ascii="Avenir Next Demi Bold" w:hAnsi="Avenir Next Demi Bold"/>
          <w:b/>
          <w:bCs/>
          <w:sz w:val="36"/>
          <w:szCs w:val="36"/>
        </w:rPr>
        <w:t>4 – 5 pm</w:t>
      </w:r>
      <w:bookmarkStart w:id="0" w:name="_GoBack"/>
      <w:bookmarkEnd w:id="0"/>
    </w:p>
    <w:p w14:paraId="58E341A0" w14:textId="729995DC" w:rsidR="00B23260" w:rsidRPr="00726BE5" w:rsidRDefault="00B23260" w:rsidP="00B23260">
      <w:pPr>
        <w:jc w:val="center"/>
        <w:rPr>
          <w:rFonts w:ascii="Avenir Next Demi Bold" w:hAnsi="Avenir Next Demi Bold"/>
          <w:b/>
          <w:bCs/>
          <w:sz w:val="36"/>
          <w:szCs w:val="36"/>
        </w:rPr>
      </w:pPr>
      <w:r w:rsidRPr="00726BE5">
        <w:rPr>
          <w:rFonts w:ascii="Avenir Next Demi Bold" w:hAnsi="Avenir Next Demi Bold"/>
          <w:b/>
          <w:bCs/>
          <w:sz w:val="36"/>
          <w:szCs w:val="36"/>
        </w:rPr>
        <w:t>Via Zoom:</w:t>
      </w:r>
      <w:r w:rsidR="005924EB" w:rsidRPr="00726BE5">
        <w:rPr>
          <w:rFonts w:ascii="Avenir Next Demi Bold" w:hAnsi="Avenir Next Demi Bold"/>
          <w:b/>
          <w:bCs/>
          <w:sz w:val="36"/>
          <w:szCs w:val="36"/>
        </w:rPr>
        <w:t xml:space="preserve">     </w:t>
      </w:r>
      <w:hyperlink r:id="rId5" w:history="1">
        <w:r w:rsidRPr="00726BE5">
          <w:rPr>
            <w:rStyle w:val="Hyperlink"/>
            <w:rFonts w:ascii="Avenir Next Demi Bold" w:hAnsi="Avenir Next Demi Bold"/>
            <w:b/>
            <w:bCs/>
            <w:sz w:val="36"/>
            <w:szCs w:val="36"/>
          </w:rPr>
          <w:t>https://zoom.us/j/4888596738</w:t>
        </w:r>
      </w:hyperlink>
      <w:r w:rsidRPr="00726BE5">
        <w:rPr>
          <w:rFonts w:ascii="Avenir Next Demi Bold" w:hAnsi="Avenir Next Demi Bold"/>
          <w:b/>
          <w:bCs/>
          <w:sz w:val="36"/>
          <w:szCs w:val="36"/>
        </w:rPr>
        <w:t xml:space="preserve"> </w:t>
      </w:r>
    </w:p>
    <w:p w14:paraId="09171049" w14:textId="14C2C1C1" w:rsidR="00B23260" w:rsidRPr="00726BE5" w:rsidRDefault="00B23260" w:rsidP="00B23260">
      <w:pPr>
        <w:jc w:val="center"/>
        <w:rPr>
          <w:rFonts w:ascii="Avenir Next Demi Bold" w:hAnsi="Avenir Next Demi Bold"/>
          <w:b/>
          <w:bCs/>
          <w:sz w:val="36"/>
          <w:szCs w:val="36"/>
        </w:rPr>
      </w:pPr>
      <w:r w:rsidRPr="00726BE5">
        <w:rPr>
          <w:rFonts w:ascii="Avenir Next Demi Bold" w:hAnsi="Avenir Next Demi Bold"/>
          <w:b/>
          <w:bCs/>
          <w:sz w:val="36"/>
          <w:szCs w:val="36"/>
        </w:rPr>
        <w:t>(</w:t>
      </w:r>
      <w:proofErr w:type="gramStart"/>
      <w:r w:rsidRPr="00726BE5">
        <w:rPr>
          <w:rFonts w:ascii="Avenir Next Demi Bold" w:hAnsi="Avenir Next Demi Bold"/>
          <w:b/>
          <w:bCs/>
          <w:sz w:val="36"/>
          <w:szCs w:val="36"/>
        </w:rPr>
        <w:t>no</w:t>
      </w:r>
      <w:proofErr w:type="gramEnd"/>
      <w:r w:rsidRPr="00726BE5">
        <w:rPr>
          <w:rFonts w:ascii="Avenir Next Demi Bold" w:hAnsi="Avenir Next Demi Bold"/>
          <w:b/>
          <w:bCs/>
          <w:sz w:val="36"/>
          <w:szCs w:val="36"/>
        </w:rPr>
        <w:t xml:space="preserve"> registration necessary)</w:t>
      </w:r>
    </w:p>
    <w:p w14:paraId="0E8FCEBA" w14:textId="0927C860" w:rsidR="00B23260" w:rsidRPr="00726BE5" w:rsidRDefault="00D65382" w:rsidP="00B23260">
      <w:pPr>
        <w:rPr>
          <w:rFonts w:ascii="Avenir Next Demi Bold" w:hAnsi="Avenir Next Demi Bold"/>
          <w:b/>
          <w:bCs/>
          <w:sz w:val="36"/>
          <w:szCs w:val="36"/>
        </w:rPr>
      </w:pPr>
      <w:r>
        <w:rPr>
          <w:rFonts w:ascii="Avenir Next Demi Bold" w:hAnsi="Avenir Next Demi Bold"/>
          <w:b/>
          <w:bCs/>
          <w:noProof/>
          <w:sz w:val="36"/>
          <w:szCs w:val="36"/>
        </w:rPr>
        <w:pict w14:anchorId="0CEAB39F">
          <v:rect id="_x0000_i1025" alt="" style="width:540pt;height:.05pt;mso-width-percent:0;mso-height-percent:0;mso-width-percent:0;mso-height-percent:0" o:hralign="center" o:hrstd="t" o:hr="t" fillcolor="#aaa" stroked="f"/>
        </w:pict>
      </w:r>
    </w:p>
    <w:p w14:paraId="5FC3EB16" w14:textId="3C5ADE98" w:rsidR="006843FF" w:rsidRDefault="006843FF" w:rsidP="00B23260">
      <w:pPr>
        <w:jc w:val="center"/>
        <w:rPr>
          <w:rFonts w:ascii="Avenir Heavy" w:hAnsi="Avenir Heavy"/>
          <w:b/>
          <w:bCs/>
          <w:color w:val="000000" w:themeColor="text1"/>
          <w:sz w:val="28"/>
          <w:szCs w:val="28"/>
        </w:rPr>
      </w:pPr>
      <w:r>
        <w:rPr>
          <w:rFonts w:ascii="Avenir Next Demi Bold" w:hAnsi="Avenir Next Demi Bold"/>
          <w:b/>
          <w:bCs/>
          <w:noProof/>
          <w:color w:val="42505A"/>
          <w:sz w:val="36"/>
          <w:szCs w:val="36"/>
        </w:rPr>
        <w:drawing>
          <wp:inline distT="0" distB="0" distL="0" distR="0" wp14:anchorId="5FB4B3AE" wp14:editId="60DA4FB5">
            <wp:extent cx="2502177" cy="1013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ctc-color-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55275" cy="1075469"/>
                    </a:xfrm>
                    <a:prstGeom prst="rect">
                      <a:avLst/>
                    </a:prstGeom>
                  </pic:spPr>
                </pic:pic>
              </a:graphicData>
            </a:graphic>
          </wp:inline>
        </w:drawing>
      </w:r>
    </w:p>
    <w:p w14:paraId="5FC6214E" w14:textId="56AB1836" w:rsidR="00726BE5" w:rsidRPr="00E67AA6" w:rsidRDefault="00726BE5" w:rsidP="00726BE5">
      <w:pPr>
        <w:spacing w:after="200" w:line="276" w:lineRule="auto"/>
        <w:ind w:left="360"/>
        <w:rPr>
          <w:rFonts w:cstheme="minorHAnsi"/>
        </w:rPr>
      </w:pPr>
      <w:r>
        <w:rPr>
          <w:rFonts w:cstheme="minorHAnsi"/>
        </w:rPr>
        <w:t>In June 2014 the community and technical college system approved the original system placement agreement for the high school Smarter Balanced assessment, administered at the time to all high school juniors (see</w:t>
      </w:r>
      <w:r w:rsidR="003B57B2">
        <w:rPr>
          <w:rFonts w:cstheme="minorHAnsi"/>
        </w:rPr>
        <w:t xml:space="preserve"> </w:t>
      </w:r>
      <w:hyperlink r:id="rId7" w:history="1">
        <w:r w:rsidR="003B57B2" w:rsidRPr="003B57B2">
          <w:rPr>
            <w:rStyle w:val="Hyperlink"/>
            <w:rFonts w:cstheme="minorHAnsi"/>
          </w:rPr>
          <w:t>the SBCTC web site</w:t>
        </w:r>
      </w:hyperlink>
      <w:r>
        <w:rPr>
          <w:rFonts w:cstheme="minorHAnsi"/>
        </w:rPr>
        <w:t xml:space="preserve"> for details). The agreement was designed</w:t>
      </w:r>
      <w:r w:rsidRPr="00726BE5">
        <w:rPr>
          <w:rFonts w:cstheme="minorHAnsi"/>
        </w:rPr>
        <w:t xml:space="preserve"> to </w:t>
      </w:r>
      <w:r>
        <w:rPr>
          <w:rFonts w:cstheme="minorHAnsi"/>
        </w:rPr>
        <w:t xml:space="preserve">allow </w:t>
      </w:r>
      <w:r w:rsidRPr="00726BE5">
        <w:rPr>
          <w:rFonts w:cstheme="minorHAnsi"/>
        </w:rPr>
        <w:t xml:space="preserve">students to </w:t>
      </w:r>
      <w:r>
        <w:rPr>
          <w:rFonts w:cstheme="minorHAnsi"/>
        </w:rPr>
        <w:t xml:space="preserve">use </w:t>
      </w:r>
      <w:r w:rsidRPr="00726BE5">
        <w:rPr>
          <w:rFonts w:cstheme="minorHAnsi"/>
        </w:rPr>
        <w:t>their scores on the high school Smarter Balanced assessment to establish their readiness for college-level coursework when entering higher educati</w:t>
      </w:r>
      <w:r>
        <w:rPr>
          <w:rFonts w:cstheme="minorHAnsi"/>
        </w:rPr>
        <w:t xml:space="preserve">on institutions in Washington </w:t>
      </w:r>
      <w:r w:rsidRPr="00726BE5">
        <w:rPr>
          <w:rFonts w:cstheme="minorHAnsi"/>
        </w:rPr>
        <w:t xml:space="preserve">and </w:t>
      </w:r>
      <w:r>
        <w:rPr>
          <w:rFonts w:cstheme="minorHAnsi"/>
        </w:rPr>
        <w:t>create</w:t>
      </w:r>
      <w:r w:rsidRPr="00726BE5">
        <w:rPr>
          <w:rFonts w:cstheme="minorHAnsi"/>
        </w:rPr>
        <w:t xml:space="preserve"> alternatives for students, if necessary, to use their senior year more effectively in getting ready for college-level work.</w:t>
      </w:r>
    </w:p>
    <w:p w14:paraId="3E8D194C" w14:textId="4E36EA4F" w:rsidR="00726BE5" w:rsidRDefault="00726BE5" w:rsidP="00726BE5">
      <w:pPr>
        <w:spacing w:after="200" w:line="276" w:lineRule="auto"/>
        <w:ind w:left="360"/>
        <w:rPr>
          <w:rFonts w:cstheme="minorHAnsi"/>
        </w:rPr>
      </w:pPr>
      <w:r w:rsidRPr="00726BE5">
        <w:rPr>
          <w:rFonts w:cstheme="minorHAnsi"/>
        </w:rPr>
        <w:t xml:space="preserve">In spring 2017 the agreement was extended for 2 years (through the Class of 2020) to acknowledge that more time was needed to collect relevant data to be able to assess the </w:t>
      </w:r>
      <w:r>
        <w:rPr>
          <w:rFonts w:cstheme="minorHAnsi"/>
        </w:rPr>
        <w:t xml:space="preserve">effectiveness of the agreement. In </w:t>
      </w:r>
      <w:r w:rsidRPr="00726BE5">
        <w:rPr>
          <w:rFonts w:cstheme="minorHAnsi"/>
        </w:rPr>
        <w:t>June 2017 the Legislature passed a law (</w:t>
      </w:r>
      <w:hyperlink r:id="rId8" w:history="1">
        <w:r w:rsidRPr="00726BE5">
          <w:rPr>
            <w:rStyle w:val="Hyperlink"/>
            <w:rFonts w:cstheme="minorHAnsi"/>
          </w:rPr>
          <w:t>HB 2224</w:t>
        </w:r>
      </w:hyperlink>
      <w:r>
        <w:rPr>
          <w:rFonts w:cstheme="minorHAnsi"/>
        </w:rPr>
        <w:t>) that a) moved</w:t>
      </w:r>
      <w:r w:rsidRPr="00726BE5">
        <w:rPr>
          <w:rFonts w:cstheme="minorHAnsi"/>
        </w:rPr>
        <w:t xml:space="preserve"> the full administration of the high school assessment from the 11</w:t>
      </w:r>
      <w:r w:rsidRPr="00726BE5">
        <w:rPr>
          <w:rFonts w:cstheme="minorHAnsi"/>
          <w:vertAlign w:val="superscript"/>
        </w:rPr>
        <w:t>th</w:t>
      </w:r>
      <w:r w:rsidRPr="00726BE5">
        <w:rPr>
          <w:rFonts w:cstheme="minorHAnsi"/>
        </w:rPr>
        <w:t xml:space="preserve"> grade to the 10</w:t>
      </w:r>
      <w:r w:rsidRPr="00726BE5">
        <w:rPr>
          <w:rFonts w:cstheme="minorHAnsi"/>
          <w:vertAlign w:val="superscript"/>
        </w:rPr>
        <w:t>th</w:t>
      </w:r>
      <w:r>
        <w:rPr>
          <w:rFonts w:cstheme="minorHAnsi"/>
        </w:rPr>
        <w:t xml:space="preserve"> grade and b) defined</w:t>
      </w:r>
      <w:r w:rsidRPr="00726BE5">
        <w:rPr>
          <w:rFonts w:cstheme="minorHAnsi"/>
        </w:rPr>
        <w:t xml:space="preserve"> a set of alternatives to the assessment for the purpose of meeting the graduation requirement.</w:t>
      </w:r>
      <w:r>
        <w:rPr>
          <w:rFonts w:cstheme="minorHAnsi"/>
        </w:rPr>
        <w:t xml:space="preserve"> </w:t>
      </w:r>
    </w:p>
    <w:p w14:paraId="2BC7C13A" w14:textId="724D77F1" w:rsidR="00726BE5" w:rsidRDefault="00726BE5" w:rsidP="00726BE5">
      <w:pPr>
        <w:spacing w:after="200" w:line="276" w:lineRule="auto"/>
        <w:ind w:left="360"/>
        <w:rPr>
          <w:rFonts w:cstheme="minorHAnsi"/>
        </w:rPr>
      </w:pPr>
      <w:r>
        <w:rPr>
          <w:rFonts w:cstheme="minorHAnsi"/>
        </w:rPr>
        <w:t xml:space="preserve">Based on the changes in the assessment, the community and technical college system convened a work group in 2017-18 to </w:t>
      </w:r>
      <w:r w:rsidR="00C25E0F">
        <w:rPr>
          <w:rFonts w:cstheme="minorHAnsi"/>
        </w:rPr>
        <w:t xml:space="preserve">determine </w:t>
      </w:r>
      <w:r>
        <w:rPr>
          <w:rFonts w:cstheme="minorHAnsi"/>
        </w:rPr>
        <w:t xml:space="preserve">what needed to change in the system placement agreement; those changes </w:t>
      </w:r>
      <w:r w:rsidR="00C31C88">
        <w:rPr>
          <w:rFonts w:cstheme="minorHAnsi"/>
        </w:rPr>
        <w:t>were approved in summer 2018, taking effect immediately for the Class of 2020 (sophomores taking the assessment in spring 2018).</w:t>
      </w:r>
      <w:r>
        <w:rPr>
          <w:rFonts w:cstheme="minorHAnsi"/>
        </w:rPr>
        <w:t xml:space="preserve"> </w:t>
      </w:r>
    </w:p>
    <w:p w14:paraId="0F20A2B5" w14:textId="7F20814E" w:rsidR="00C25E0F" w:rsidRDefault="00C25E0F" w:rsidP="00C25E0F">
      <w:pPr>
        <w:spacing w:after="200" w:line="276" w:lineRule="auto"/>
        <w:ind w:left="360"/>
        <w:rPr>
          <w:rFonts w:cstheme="minorHAnsi"/>
        </w:rPr>
      </w:pPr>
      <w:r>
        <w:rPr>
          <w:rFonts w:cstheme="minorHAnsi"/>
        </w:rPr>
        <w:t xml:space="preserve">In this webinar, </w:t>
      </w:r>
      <w:r w:rsidRPr="00C25E0F">
        <w:rPr>
          <w:rFonts w:cstheme="minorHAnsi"/>
          <w:b/>
        </w:rPr>
        <w:t>Bill Moore, Director of K-12 Partnerships for SBCTC, and the Smarter Balanced higher education lead for Washington state</w:t>
      </w:r>
      <w:r>
        <w:rPr>
          <w:rFonts w:cstheme="minorHAnsi"/>
        </w:rPr>
        <w:t xml:space="preserve">, will review the key elements of the new agreement, answer questions about the implementation of the policy, and provide an update on the work being done with OSPI to create a more automated process for accessing the student score and grade information needed to honor the agreement. </w:t>
      </w:r>
      <w:r w:rsidR="00656339">
        <w:rPr>
          <w:rFonts w:cstheme="minorHAnsi"/>
        </w:rPr>
        <w:t>If you’re interested but unable to participate in the live webinar, the discussion</w:t>
      </w:r>
      <w:r w:rsidR="003B57B2">
        <w:rPr>
          <w:rFonts w:cstheme="minorHAnsi"/>
        </w:rPr>
        <w:t xml:space="preserve"> will be recorded and </w:t>
      </w:r>
      <w:r w:rsidR="00656339">
        <w:rPr>
          <w:rFonts w:cstheme="minorHAnsi"/>
        </w:rPr>
        <w:t>posted</w:t>
      </w:r>
      <w:r w:rsidR="003B57B2">
        <w:rPr>
          <w:rFonts w:cstheme="minorHAnsi"/>
        </w:rPr>
        <w:t xml:space="preserve"> </w:t>
      </w:r>
      <w:hyperlink r:id="rId9" w:history="1">
        <w:r w:rsidR="003B57B2" w:rsidRPr="003B57B2">
          <w:rPr>
            <w:rStyle w:val="Hyperlink"/>
            <w:rFonts w:cstheme="minorHAnsi"/>
          </w:rPr>
          <w:t>here</w:t>
        </w:r>
      </w:hyperlink>
      <w:r w:rsidR="00656339">
        <w:rPr>
          <w:rFonts w:cstheme="minorHAnsi"/>
        </w:rPr>
        <w:t xml:space="preserve"> within a week so following the session.</w:t>
      </w:r>
    </w:p>
    <w:p w14:paraId="5B4DCB39" w14:textId="44DC69D8" w:rsidR="00630D2A" w:rsidRPr="00C25E0F" w:rsidRDefault="00AE3CC0" w:rsidP="00C25E0F">
      <w:pPr>
        <w:spacing w:after="200" w:line="276" w:lineRule="auto"/>
        <w:ind w:left="360"/>
        <w:jc w:val="center"/>
        <w:rPr>
          <w:rFonts w:cstheme="minorHAnsi"/>
        </w:rPr>
      </w:pPr>
      <w:r w:rsidRPr="00221530">
        <w:rPr>
          <w:rFonts w:ascii="Goudy Old Style" w:hAnsi="Goudy Old Style" w:cstheme="minorHAnsi"/>
          <w:b/>
          <w:bCs/>
          <w:color w:val="000000" w:themeColor="text1"/>
          <w:sz w:val="32"/>
          <w:szCs w:val="32"/>
        </w:rPr>
        <w:t xml:space="preserve">Please contact </w:t>
      </w:r>
      <w:hyperlink r:id="rId10" w:history="1">
        <w:r w:rsidRPr="00221530">
          <w:rPr>
            <w:rStyle w:val="Hyperlink"/>
            <w:rFonts w:ascii="Goudy Old Style" w:hAnsi="Goudy Old Style" w:cstheme="minorHAnsi"/>
            <w:b/>
            <w:bCs/>
            <w:sz w:val="32"/>
            <w:szCs w:val="32"/>
          </w:rPr>
          <w:t>Bill Moore</w:t>
        </w:r>
      </w:hyperlink>
      <w:r w:rsidRPr="00221530">
        <w:rPr>
          <w:rFonts w:ascii="Goudy Old Style" w:hAnsi="Goudy Old Style" w:cstheme="minorHAnsi"/>
          <w:b/>
          <w:bCs/>
          <w:color w:val="000000" w:themeColor="text1"/>
          <w:sz w:val="32"/>
          <w:szCs w:val="32"/>
        </w:rPr>
        <w:t xml:space="preserve"> </w:t>
      </w:r>
      <w:r w:rsidR="00FE691C" w:rsidRPr="00221530">
        <w:rPr>
          <w:rFonts w:ascii="Goudy Old Style" w:hAnsi="Goudy Old Style" w:cstheme="minorHAnsi"/>
          <w:b/>
          <w:bCs/>
          <w:color w:val="000000" w:themeColor="text1"/>
          <w:sz w:val="32"/>
          <w:szCs w:val="32"/>
        </w:rPr>
        <w:t>for more information.</w:t>
      </w:r>
    </w:p>
    <w:sectPr w:rsidR="00630D2A" w:rsidRPr="00C25E0F" w:rsidSect="00630D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Avenir Heavy">
    <w:altName w:val="Trebuchet MS"/>
    <w:charset w:val="4D"/>
    <w:family w:val="swiss"/>
    <w:pitch w:val="variable"/>
    <w:sig w:usb0="00000001" w:usb1="5000204A" w:usb2="00000000" w:usb3="00000000" w:csb0="0000009B"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100C"/>
    <w:multiLevelType w:val="hybridMultilevel"/>
    <w:tmpl w:val="0AD4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D239A"/>
    <w:multiLevelType w:val="hybridMultilevel"/>
    <w:tmpl w:val="DD0EFAF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60077B"/>
    <w:multiLevelType w:val="hybridMultilevel"/>
    <w:tmpl w:val="471A308C"/>
    <w:lvl w:ilvl="0" w:tplc="ED824800">
      <w:start w:val="1"/>
      <w:numFmt w:val="bullet"/>
      <w:lvlText w:val=""/>
      <w:lvlJc w:val="left"/>
      <w:pPr>
        <w:tabs>
          <w:tab w:val="num" w:pos="720"/>
        </w:tabs>
        <w:ind w:left="720" w:hanging="360"/>
      </w:pPr>
      <w:rPr>
        <w:rFonts w:ascii="Wingdings" w:hAnsi="Wingdings" w:hint="default"/>
      </w:rPr>
    </w:lvl>
    <w:lvl w:ilvl="1" w:tplc="A9906398" w:tentative="1">
      <w:start w:val="1"/>
      <w:numFmt w:val="bullet"/>
      <w:lvlText w:val=""/>
      <w:lvlJc w:val="left"/>
      <w:pPr>
        <w:tabs>
          <w:tab w:val="num" w:pos="1440"/>
        </w:tabs>
        <w:ind w:left="1440" w:hanging="360"/>
      </w:pPr>
      <w:rPr>
        <w:rFonts w:ascii="Wingdings" w:hAnsi="Wingdings" w:hint="default"/>
      </w:rPr>
    </w:lvl>
    <w:lvl w:ilvl="2" w:tplc="44E43B7E" w:tentative="1">
      <w:start w:val="1"/>
      <w:numFmt w:val="bullet"/>
      <w:lvlText w:val=""/>
      <w:lvlJc w:val="left"/>
      <w:pPr>
        <w:tabs>
          <w:tab w:val="num" w:pos="2160"/>
        </w:tabs>
        <w:ind w:left="2160" w:hanging="360"/>
      </w:pPr>
      <w:rPr>
        <w:rFonts w:ascii="Wingdings" w:hAnsi="Wingdings" w:hint="default"/>
      </w:rPr>
    </w:lvl>
    <w:lvl w:ilvl="3" w:tplc="9E522E94" w:tentative="1">
      <w:start w:val="1"/>
      <w:numFmt w:val="bullet"/>
      <w:lvlText w:val=""/>
      <w:lvlJc w:val="left"/>
      <w:pPr>
        <w:tabs>
          <w:tab w:val="num" w:pos="2880"/>
        </w:tabs>
        <w:ind w:left="2880" w:hanging="360"/>
      </w:pPr>
      <w:rPr>
        <w:rFonts w:ascii="Wingdings" w:hAnsi="Wingdings" w:hint="default"/>
      </w:rPr>
    </w:lvl>
    <w:lvl w:ilvl="4" w:tplc="549C54C4" w:tentative="1">
      <w:start w:val="1"/>
      <w:numFmt w:val="bullet"/>
      <w:lvlText w:val=""/>
      <w:lvlJc w:val="left"/>
      <w:pPr>
        <w:tabs>
          <w:tab w:val="num" w:pos="3600"/>
        </w:tabs>
        <w:ind w:left="3600" w:hanging="360"/>
      </w:pPr>
      <w:rPr>
        <w:rFonts w:ascii="Wingdings" w:hAnsi="Wingdings" w:hint="default"/>
      </w:rPr>
    </w:lvl>
    <w:lvl w:ilvl="5" w:tplc="56A20B1E" w:tentative="1">
      <w:start w:val="1"/>
      <w:numFmt w:val="bullet"/>
      <w:lvlText w:val=""/>
      <w:lvlJc w:val="left"/>
      <w:pPr>
        <w:tabs>
          <w:tab w:val="num" w:pos="4320"/>
        </w:tabs>
        <w:ind w:left="4320" w:hanging="360"/>
      </w:pPr>
      <w:rPr>
        <w:rFonts w:ascii="Wingdings" w:hAnsi="Wingdings" w:hint="default"/>
      </w:rPr>
    </w:lvl>
    <w:lvl w:ilvl="6" w:tplc="ED3E0DA2" w:tentative="1">
      <w:start w:val="1"/>
      <w:numFmt w:val="bullet"/>
      <w:lvlText w:val=""/>
      <w:lvlJc w:val="left"/>
      <w:pPr>
        <w:tabs>
          <w:tab w:val="num" w:pos="5040"/>
        </w:tabs>
        <w:ind w:left="5040" w:hanging="360"/>
      </w:pPr>
      <w:rPr>
        <w:rFonts w:ascii="Wingdings" w:hAnsi="Wingdings" w:hint="default"/>
      </w:rPr>
    </w:lvl>
    <w:lvl w:ilvl="7" w:tplc="5386BFE2" w:tentative="1">
      <w:start w:val="1"/>
      <w:numFmt w:val="bullet"/>
      <w:lvlText w:val=""/>
      <w:lvlJc w:val="left"/>
      <w:pPr>
        <w:tabs>
          <w:tab w:val="num" w:pos="5760"/>
        </w:tabs>
        <w:ind w:left="5760" w:hanging="360"/>
      </w:pPr>
      <w:rPr>
        <w:rFonts w:ascii="Wingdings" w:hAnsi="Wingdings" w:hint="default"/>
      </w:rPr>
    </w:lvl>
    <w:lvl w:ilvl="8" w:tplc="E77AD7A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0127AA"/>
    <w:multiLevelType w:val="hybridMultilevel"/>
    <w:tmpl w:val="D0B4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311BF4"/>
    <w:multiLevelType w:val="hybridMultilevel"/>
    <w:tmpl w:val="0CA20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C469F3"/>
    <w:multiLevelType w:val="hybridMultilevel"/>
    <w:tmpl w:val="C08C5C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EA1"/>
    <w:rsid w:val="00026D3A"/>
    <w:rsid w:val="00045B48"/>
    <w:rsid w:val="00067CCC"/>
    <w:rsid w:val="000C750F"/>
    <w:rsid w:val="00102F37"/>
    <w:rsid w:val="00170800"/>
    <w:rsid w:val="001E54C8"/>
    <w:rsid w:val="001F3E45"/>
    <w:rsid w:val="00221530"/>
    <w:rsid w:val="0024651B"/>
    <w:rsid w:val="00262CCB"/>
    <w:rsid w:val="003906D3"/>
    <w:rsid w:val="003B57B2"/>
    <w:rsid w:val="00513049"/>
    <w:rsid w:val="005753D4"/>
    <w:rsid w:val="00590593"/>
    <w:rsid w:val="005924EB"/>
    <w:rsid w:val="005B779C"/>
    <w:rsid w:val="005C061D"/>
    <w:rsid w:val="005C542A"/>
    <w:rsid w:val="00630D2A"/>
    <w:rsid w:val="00656339"/>
    <w:rsid w:val="006843FF"/>
    <w:rsid w:val="006E2501"/>
    <w:rsid w:val="00726BE5"/>
    <w:rsid w:val="007A1CB7"/>
    <w:rsid w:val="007B78C8"/>
    <w:rsid w:val="007F4160"/>
    <w:rsid w:val="007F6219"/>
    <w:rsid w:val="00804763"/>
    <w:rsid w:val="00886405"/>
    <w:rsid w:val="0091382D"/>
    <w:rsid w:val="00914F62"/>
    <w:rsid w:val="00925276"/>
    <w:rsid w:val="009326DF"/>
    <w:rsid w:val="009E1C52"/>
    <w:rsid w:val="00A21DAE"/>
    <w:rsid w:val="00A24F9B"/>
    <w:rsid w:val="00AA6D5B"/>
    <w:rsid w:val="00AE3CC0"/>
    <w:rsid w:val="00B026A1"/>
    <w:rsid w:val="00B23260"/>
    <w:rsid w:val="00B47CD8"/>
    <w:rsid w:val="00B52630"/>
    <w:rsid w:val="00B625CA"/>
    <w:rsid w:val="00BA114B"/>
    <w:rsid w:val="00BA6454"/>
    <w:rsid w:val="00BE5A8C"/>
    <w:rsid w:val="00C25E0F"/>
    <w:rsid w:val="00C31C88"/>
    <w:rsid w:val="00C4481F"/>
    <w:rsid w:val="00CB0EA1"/>
    <w:rsid w:val="00CB25FA"/>
    <w:rsid w:val="00CB3061"/>
    <w:rsid w:val="00CF439F"/>
    <w:rsid w:val="00D07500"/>
    <w:rsid w:val="00D51D60"/>
    <w:rsid w:val="00D65382"/>
    <w:rsid w:val="00DD7E78"/>
    <w:rsid w:val="00DE37B2"/>
    <w:rsid w:val="00E0232F"/>
    <w:rsid w:val="00E409C6"/>
    <w:rsid w:val="00ED63C7"/>
    <w:rsid w:val="00EE310E"/>
    <w:rsid w:val="00FC57C8"/>
    <w:rsid w:val="00FD5D58"/>
    <w:rsid w:val="00FE2964"/>
    <w:rsid w:val="00FE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F9D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8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0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439F"/>
    <w:rPr>
      <w:color w:val="0563C1" w:themeColor="hyperlink"/>
      <w:u w:val="single"/>
    </w:rPr>
  </w:style>
  <w:style w:type="paragraph" w:styleId="ListParagraph">
    <w:name w:val="List Paragraph"/>
    <w:basedOn w:val="Normal"/>
    <w:uiPriority w:val="34"/>
    <w:qFormat/>
    <w:rsid w:val="00262CCB"/>
    <w:pPr>
      <w:ind w:left="720"/>
      <w:contextualSpacing/>
    </w:pPr>
  </w:style>
  <w:style w:type="character" w:styleId="CommentReference">
    <w:name w:val="annotation reference"/>
    <w:basedOn w:val="DefaultParagraphFont"/>
    <w:uiPriority w:val="99"/>
    <w:semiHidden/>
    <w:unhideWhenUsed/>
    <w:rsid w:val="00DD7E78"/>
    <w:rPr>
      <w:sz w:val="18"/>
      <w:szCs w:val="18"/>
    </w:rPr>
  </w:style>
  <w:style w:type="paragraph" w:styleId="CommentText">
    <w:name w:val="annotation text"/>
    <w:basedOn w:val="Normal"/>
    <w:link w:val="CommentTextChar"/>
    <w:uiPriority w:val="99"/>
    <w:semiHidden/>
    <w:unhideWhenUsed/>
    <w:rsid w:val="00DD7E78"/>
  </w:style>
  <w:style w:type="character" w:customStyle="1" w:styleId="CommentTextChar">
    <w:name w:val="Comment Text Char"/>
    <w:basedOn w:val="DefaultParagraphFont"/>
    <w:link w:val="CommentText"/>
    <w:uiPriority w:val="99"/>
    <w:semiHidden/>
    <w:rsid w:val="00DD7E78"/>
  </w:style>
  <w:style w:type="paragraph" w:styleId="CommentSubject">
    <w:name w:val="annotation subject"/>
    <w:basedOn w:val="CommentText"/>
    <w:next w:val="CommentText"/>
    <w:link w:val="CommentSubjectChar"/>
    <w:uiPriority w:val="99"/>
    <w:semiHidden/>
    <w:unhideWhenUsed/>
    <w:rsid w:val="00DD7E78"/>
    <w:rPr>
      <w:b/>
      <w:bCs/>
      <w:sz w:val="20"/>
      <w:szCs w:val="20"/>
    </w:rPr>
  </w:style>
  <w:style w:type="character" w:customStyle="1" w:styleId="CommentSubjectChar">
    <w:name w:val="Comment Subject Char"/>
    <w:basedOn w:val="CommentTextChar"/>
    <w:link w:val="CommentSubject"/>
    <w:uiPriority w:val="99"/>
    <w:semiHidden/>
    <w:rsid w:val="00DD7E78"/>
    <w:rPr>
      <w:b/>
      <w:bCs/>
      <w:sz w:val="20"/>
      <w:szCs w:val="20"/>
    </w:rPr>
  </w:style>
  <w:style w:type="paragraph" w:styleId="BalloonText">
    <w:name w:val="Balloon Text"/>
    <w:basedOn w:val="Normal"/>
    <w:link w:val="BalloonTextChar"/>
    <w:uiPriority w:val="99"/>
    <w:semiHidden/>
    <w:unhideWhenUsed/>
    <w:rsid w:val="00DD7E7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7E78"/>
    <w:rPr>
      <w:rFonts w:ascii="Times New Roman" w:hAnsi="Times New Roman" w:cs="Times New Roman"/>
      <w:sz w:val="18"/>
      <w:szCs w:val="18"/>
    </w:rPr>
  </w:style>
  <w:style w:type="character" w:customStyle="1" w:styleId="UnresolvedMention1">
    <w:name w:val="Unresolved Mention1"/>
    <w:basedOn w:val="DefaultParagraphFont"/>
    <w:uiPriority w:val="99"/>
    <w:rsid w:val="00FE69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935642">
      <w:bodyDiv w:val="1"/>
      <w:marLeft w:val="0"/>
      <w:marRight w:val="0"/>
      <w:marTop w:val="0"/>
      <w:marBottom w:val="0"/>
      <w:divBdr>
        <w:top w:val="none" w:sz="0" w:space="0" w:color="auto"/>
        <w:left w:val="none" w:sz="0" w:space="0" w:color="auto"/>
        <w:bottom w:val="none" w:sz="0" w:space="0" w:color="auto"/>
        <w:right w:val="none" w:sz="0" w:space="0" w:color="auto"/>
      </w:divBdr>
    </w:div>
    <w:div w:id="2102794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billsummary?BillNumber=2224&amp;Year=2017" TargetMode="External"/><Relationship Id="rId3" Type="http://schemas.openxmlformats.org/officeDocument/2006/relationships/settings" Target="settings.xml"/><Relationship Id="rId7" Type="http://schemas.openxmlformats.org/officeDocument/2006/relationships/hyperlink" Target="https://www.sbctc.edu/about/agency/initiatives-projects/bridge-to-college.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zoom.us/j/4888596738" TargetMode="External"/><Relationship Id="rId10" Type="http://schemas.openxmlformats.org/officeDocument/2006/relationships/hyperlink" Target="mailto:bmoore@sbctc.edu" TargetMode="External"/><Relationship Id="rId4" Type="http://schemas.openxmlformats.org/officeDocument/2006/relationships/webSettings" Target="webSettings.xml"/><Relationship Id="rId9" Type="http://schemas.openxmlformats.org/officeDocument/2006/relationships/hyperlink" Target="https://www.sbctc.edu/about/agency/initiatives-projects/bridge-to-colleg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Getz</dc:creator>
  <cp:lastModifiedBy>Bill Moore</cp:lastModifiedBy>
  <cp:revision>8</cp:revision>
  <dcterms:created xsi:type="dcterms:W3CDTF">2018-09-14T22:49:00Z</dcterms:created>
  <dcterms:modified xsi:type="dcterms:W3CDTF">2018-09-17T18:42:00Z</dcterms:modified>
</cp:coreProperties>
</file>