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195" w:rsidRPr="00880195" w:rsidRDefault="00EC2BC7" w:rsidP="00880195">
      <w:pPr>
        <w:pStyle w:val="Heading1"/>
        <w:jc w:val="center"/>
      </w:pPr>
      <w:r w:rsidRPr="00880195">
        <w:t>COMMUNITY AND TECHNICAL COLLEGE SYSTEM AGREEMENT</w:t>
      </w:r>
      <w:r w:rsidR="00880195">
        <w:t>:</w:t>
      </w:r>
    </w:p>
    <w:p w:rsidR="00EC2BC7" w:rsidRDefault="00EC2BC7" w:rsidP="00880195">
      <w:pPr>
        <w:pStyle w:val="Heading2"/>
        <w:jc w:val="center"/>
      </w:pPr>
      <w:r w:rsidRPr="002A0E07">
        <w:t xml:space="preserve">AUTOMATIC PLACEMENT BASED ON HIGH SCHOOL </w:t>
      </w:r>
      <w:r w:rsidR="00880195">
        <w:t>ASSESSMENT</w:t>
      </w:r>
      <w:r w:rsidRPr="002A0E07">
        <w:t xml:space="preserve"> SCORES</w:t>
      </w:r>
    </w:p>
    <w:p w:rsidR="00EC2BC7" w:rsidRDefault="00EC2BC7" w:rsidP="00EC2BC7">
      <w:pPr>
        <w:rPr>
          <w:lang w:val="en"/>
        </w:rPr>
      </w:pPr>
    </w:p>
    <w:p w:rsidR="00BB42CB" w:rsidRPr="003D219D" w:rsidRDefault="007D50D1" w:rsidP="003D219D">
      <w:pPr>
        <w:pStyle w:val="Heading2"/>
      </w:pPr>
      <w:r>
        <w:t>Automatic Placement Options Available to Students Entering Directly from High School</w:t>
      </w:r>
      <w:r w:rsidR="003D219D">
        <w:t>:</w:t>
      </w:r>
    </w:p>
    <w:tbl>
      <w:tblPr>
        <w:tblStyle w:val="GridTable4"/>
        <w:tblW w:w="9535" w:type="dxa"/>
        <w:tblLook w:val="0420" w:firstRow="1" w:lastRow="0" w:firstColumn="0" w:lastColumn="0" w:noHBand="0" w:noVBand="1"/>
        <w:tblCaption w:val="Automatic Placement Options"/>
        <w:tblDescription w:val="math and English courses available to high school students with Smarter Balanced scores, Level 3 or 4, OR Bridge to College grade of B or better"/>
      </w:tblPr>
      <w:tblGrid>
        <w:gridCol w:w="6655"/>
        <w:gridCol w:w="2880"/>
      </w:tblGrid>
      <w:tr w:rsidR="007D50D1" w:rsidRPr="00321330" w:rsidTr="00880195">
        <w:trPr>
          <w:cnfStyle w:val="100000000000" w:firstRow="1" w:lastRow="0" w:firstColumn="0" w:lastColumn="0" w:oddVBand="0" w:evenVBand="0" w:oddHBand="0" w:evenHBand="0" w:firstRowFirstColumn="0" w:firstRowLastColumn="0" w:lastRowFirstColumn="0" w:lastRowLastColumn="0"/>
          <w:tblHeader/>
        </w:trPr>
        <w:tc>
          <w:tcPr>
            <w:tcW w:w="6655" w:type="dxa"/>
          </w:tcPr>
          <w:p w:rsidR="007D50D1" w:rsidRDefault="007D50D1" w:rsidP="00EC2BC7">
            <w:pPr>
              <w:jc w:val="center"/>
              <w:rPr>
                <w:rFonts w:cstheme="minorHAnsi"/>
                <w:sz w:val="28"/>
                <w:szCs w:val="28"/>
                <w:lang w:val="en"/>
              </w:rPr>
            </w:pPr>
          </w:p>
          <w:p w:rsidR="007D50D1" w:rsidRPr="00321330" w:rsidRDefault="007D50D1" w:rsidP="00EC2BC7">
            <w:pPr>
              <w:jc w:val="center"/>
              <w:rPr>
                <w:rFonts w:cstheme="minorHAnsi"/>
                <w:sz w:val="28"/>
                <w:szCs w:val="28"/>
                <w:lang w:val="en"/>
              </w:rPr>
            </w:pPr>
            <w:r w:rsidRPr="00321330">
              <w:rPr>
                <w:rFonts w:cstheme="minorHAnsi"/>
                <w:sz w:val="28"/>
                <w:szCs w:val="28"/>
                <w:lang w:val="en"/>
              </w:rPr>
              <w:t>MATH</w:t>
            </w:r>
          </w:p>
        </w:tc>
        <w:tc>
          <w:tcPr>
            <w:tcW w:w="2880" w:type="dxa"/>
          </w:tcPr>
          <w:p w:rsidR="007D50D1" w:rsidRDefault="007D50D1" w:rsidP="00EC2BC7">
            <w:pPr>
              <w:jc w:val="center"/>
              <w:rPr>
                <w:rFonts w:cstheme="minorHAnsi"/>
                <w:sz w:val="28"/>
                <w:szCs w:val="28"/>
                <w:lang w:val="en"/>
              </w:rPr>
            </w:pPr>
          </w:p>
          <w:p w:rsidR="007D50D1" w:rsidRPr="00321330" w:rsidRDefault="007D50D1" w:rsidP="00EC2BC7">
            <w:pPr>
              <w:jc w:val="center"/>
              <w:rPr>
                <w:rFonts w:cstheme="minorHAnsi"/>
                <w:sz w:val="28"/>
                <w:szCs w:val="28"/>
                <w:lang w:val="en"/>
              </w:rPr>
            </w:pPr>
            <w:r w:rsidRPr="00321330">
              <w:rPr>
                <w:rFonts w:cstheme="minorHAnsi"/>
                <w:sz w:val="28"/>
                <w:szCs w:val="28"/>
                <w:lang w:val="en"/>
              </w:rPr>
              <w:t>ENGLISH</w:t>
            </w:r>
          </w:p>
        </w:tc>
      </w:tr>
      <w:tr w:rsidR="007D50D1" w:rsidRPr="00321330" w:rsidTr="00527072">
        <w:trPr>
          <w:cnfStyle w:val="000000100000" w:firstRow="0" w:lastRow="0" w:firstColumn="0" w:lastColumn="0" w:oddVBand="0" w:evenVBand="0" w:oddHBand="1" w:evenHBand="0" w:firstRowFirstColumn="0" w:firstRowLastColumn="0" w:lastRowFirstColumn="0" w:lastRowLastColumn="0"/>
        </w:trPr>
        <w:tc>
          <w:tcPr>
            <w:tcW w:w="6655" w:type="dxa"/>
            <w:shd w:val="clear" w:color="auto" w:fill="auto"/>
          </w:tcPr>
          <w:p w:rsidR="007D50D1" w:rsidRPr="007D50D1" w:rsidRDefault="007D50D1" w:rsidP="00527072">
            <w:pPr>
              <w:pStyle w:val="ListParagraph"/>
              <w:widowControl w:val="0"/>
              <w:numPr>
                <w:ilvl w:val="0"/>
                <w:numId w:val="17"/>
              </w:numPr>
              <w:shd w:val="clear" w:color="auto" w:fill="BFBFBF" w:themeFill="background1" w:themeFillShade="BF"/>
              <w:rPr>
                <w:rFonts w:eastAsia="Times New Roman" w:cstheme="minorHAnsi"/>
              </w:rPr>
            </w:pPr>
            <w:r w:rsidRPr="007D50D1">
              <w:rPr>
                <w:rFonts w:eastAsia="Times New Roman" w:cstheme="minorHAnsi"/>
              </w:rPr>
              <w:t>For</w:t>
            </w:r>
            <w:r w:rsidR="003D219D">
              <w:rPr>
                <w:rFonts w:eastAsia="Times New Roman" w:cstheme="minorHAnsi"/>
              </w:rPr>
              <w:t xml:space="preserve"> placement into</w:t>
            </w:r>
            <w:r w:rsidRPr="007D50D1">
              <w:rPr>
                <w:rFonts w:eastAsia="Times New Roman" w:cstheme="minorHAnsi"/>
                <w:b/>
                <w:i/>
              </w:rPr>
              <w:t xml:space="preserve"> Math&amp; 107</w:t>
            </w:r>
            <w:r w:rsidRPr="007D50D1">
              <w:rPr>
                <w:rFonts w:eastAsia="Times New Roman" w:cstheme="minorHAnsi"/>
                <w:i/>
              </w:rPr>
              <w:t xml:space="preserve"> (Math in Society), </w:t>
            </w:r>
            <w:r w:rsidRPr="007D50D1">
              <w:rPr>
                <w:rFonts w:eastAsia="Times New Roman" w:cstheme="minorHAnsi"/>
                <w:b/>
                <w:i/>
              </w:rPr>
              <w:t>Math&amp; 146</w:t>
            </w:r>
            <w:r w:rsidRPr="007D50D1">
              <w:rPr>
                <w:rFonts w:eastAsia="Times New Roman" w:cstheme="minorHAnsi"/>
                <w:i/>
              </w:rPr>
              <w:t xml:space="preserve"> (Statistics), or their equivalents:</w:t>
            </w:r>
            <w:r w:rsidRPr="007D50D1">
              <w:rPr>
                <w:rFonts w:eastAsia="Times New Roman" w:cstheme="minorHAnsi"/>
              </w:rPr>
              <w:t xml:space="preserve"> </w:t>
            </w:r>
          </w:p>
          <w:p w:rsidR="007D50D1" w:rsidRPr="00321330" w:rsidRDefault="007D50D1" w:rsidP="00EC2BC7">
            <w:pPr>
              <w:widowControl w:val="0"/>
              <w:rPr>
                <w:rFonts w:eastAsia="Times New Roman" w:cstheme="minorHAnsi"/>
              </w:rPr>
            </w:pPr>
            <w:r>
              <w:rPr>
                <w:rFonts w:eastAsia="Times New Roman" w:cstheme="minorHAnsi"/>
              </w:rPr>
              <w:t>1) Level 3 or 4 score on high school Smarter Balanced assessment</w:t>
            </w:r>
            <w:r w:rsidRPr="00321330">
              <w:rPr>
                <w:rFonts w:eastAsia="Times New Roman" w:cstheme="minorHAnsi"/>
              </w:rPr>
              <w:t xml:space="preserve"> </w:t>
            </w:r>
            <w:r w:rsidRPr="00465C0D">
              <w:rPr>
                <w:rFonts w:eastAsia="Times New Roman" w:cstheme="minorHAnsi"/>
                <w:b/>
              </w:rPr>
              <w:t>plus</w:t>
            </w:r>
            <w:r w:rsidRPr="00321330">
              <w:rPr>
                <w:rFonts w:eastAsia="Times New Roman" w:cstheme="minorHAnsi"/>
              </w:rPr>
              <w:t xml:space="preserve"> </w:t>
            </w:r>
          </w:p>
          <w:p w:rsidR="007D50D1" w:rsidRPr="00321330" w:rsidRDefault="007D50D1" w:rsidP="00EC2BC7">
            <w:pPr>
              <w:widowControl w:val="0"/>
              <w:rPr>
                <w:rFonts w:eastAsia="Times New Roman" w:cstheme="minorHAnsi"/>
              </w:rPr>
            </w:pPr>
            <w:r w:rsidRPr="00321330">
              <w:rPr>
                <w:rFonts w:eastAsia="Times New Roman" w:cstheme="minorHAnsi"/>
              </w:rPr>
              <w:t xml:space="preserve">a) B or better in Algebra 2, and </w:t>
            </w:r>
          </w:p>
          <w:p w:rsidR="007D50D1" w:rsidRPr="00321330" w:rsidRDefault="007D50D1" w:rsidP="00EC2BC7">
            <w:pPr>
              <w:widowControl w:val="0"/>
              <w:rPr>
                <w:rFonts w:eastAsia="Times New Roman" w:cstheme="minorHAnsi"/>
              </w:rPr>
            </w:pPr>
            <w:r w:rsidRPr="00321330">
              <w:rPr>
                <w:rFonts w:eastAsia="Times New Roman" w:cstheme="minorHAnsi"/>
              </w:rPr>
              <w:t>b) successful completion (passing grade) of one math course in the junior or senior year</w:t>
            </w:r>
          </w:p>
          <w:p w:rsidR="007D50D1" w:rsidRDefault="007D50D1" w:rsidP="00EC2BC7">
            <w:pPr>
              <w:widowControl w:val="0"/>
              <w:rPr>
                <w:rFonts w:eastAsia="Times New Roman" w:cstheme="minorHAnsi"/>
              </w:rPr>
            </w:pPr>
          </w:p>
          <w:p w:rsidR="0021114D" w:rsidRDefault="0021114D" w:rsidP="00EC2BC7">
            <w:pPr>
              <w:widowControl w:val="0"/>
              <w:rPr>
                <w:rFonts w:eastAsia="Times New Roman" w:cstheme="minorHAnsi"/>
              </w:rPr>
            </w:pPr>
            <w:r>
              <w:rPr>
                <w:rFonts w:eastAsia="Times New Roman" w:cstheme="minorHAnsi"/>
              </w:rPr>
              <w:t>OR</w:t>
            </w:r>
          </w:p>
          <w:p w:rsidR="0021114D" w:rsidRDefault="0021114D" w:rsidP="00EC2BC7">
            <w:pPr>
              <w:widowControl w:val="0"/>
              <w:rPr>
                <w:rFonts w:eastAsia="Times New Roman" w:cstheme="minorHAnsi"/>
              </w:rPr>
            </w:pPr>
          </w:p>
          <w:p w:rsidR="007D50D1" w:rsidRDefault="007D50D1" w:rsidP="00EC2BC7">
            <w:pPr>
              <w:widowControl w:val="0"/>
              <w:rPr>
                <w:rFonts w:eastAsia="Times New Roman" w:cstheme="minorHAnsi"/>
              </w:rPr>
            </w:pPr>
            <w:r>
              <w:rPr>
                <w:rFonts w:eastAsia="Times New Roman" w:cstheme="minorHAnsi"/>
              </w:rPr>
              <w:t xml:space="preserve">2) B or better grade in designated </w:t>
            </w:r>
            <w:r w:rsidRPr="007D50D1">
              <w:rPr>
                <w:rFonts w:eastAsia="Times New Roman" w:cstheme="minorHAnsi"/>
                <w:i/>
              </w:rPr>
              <w:t>Bridge to College Math</w:t>
            </w:r>
            <w:r>
              <w:rPr>
                <w:rFonts w:eastAsia="Times New Roman" w:cstheme="minorHAnsi"/>
              </w:rPr>
              <w:t xml:space="preserve"> class as a senior</w:t>
            </w:r>
          </w:p>
          <w:p w:rsidR="007D50D1" w:rsidRPr="00321330" w:rsidRDefault="007D50D1" w:rsidP="00EC2BC7">
            <w:pPr>
              <w:widowControl w:val="0"/>
              <w:rPr>
                <w:rFonts w:eastAsia="Times New Roman" w:cstheme="minorHAnsi"/>
              </w:rPr>
            </w:pPr>
          </w:p>
          <w:p w:rsidR="007D50D1" w:rsidRPr="007D50D1" w:rsidRDefault="007D50D1" w:rsidP="00527072">
            <w:pPr>
              <w:pStyle w:val="ListParagraph"/>
              <w:numPr>
                <w:ilvl w:val="0"/>
                <w:numId w:val="17"/>
              </w:numPr>
              <w:shd w:val="clear" w:color="auto" w:fill="BFBFBF" w:themeFill="background1" w:themeFillShade="BF"/>
              <w:rPr>
                <w:rFonts w:eastAsia="Times New Roman" w:cstheme="minorHAnsi"/>
              </w:rPr>
            </w:pPr>
            <w:r w:rsidRPr="007D50D1">
              <w:rPr>
                <w:rFonts w:eastAsia="Times New Roman" w:cstheme="minorHAnsi"/>
              </w:rPr>
              <w:t>For</w:t>
            </w:r>
            <w:r w:rsidR="003D219D">
              <w:rPr>
                <w:rFonts w:eastAsia="Times New Roman" w:cstheme="minorHAnsi"/>
              </w:rPr>
              <w:t xml:space="preserve"> placement into</w:t>
            </w:r>
            <w:r w:rsidR="003D219D">
              <w:rPr>
                <w:rFonts w:eastAsia="Times New Roman" w:cstheme="minorHAnsi"/>
                <w:b/>
                <w:i/>
              </w:rPr>
              <w:t xml:space="preserve"> o</w:t>
            </w:r>
            <w:r w:rsidRPr="007D50D1">
              <w:rPr>
                <w:rFonts w:eastAsia="Times New Roman" w:cstheme="minorHAnsi"/>
                <w:b/>
                <w:i/>
              </w:rPr>
              <w:t>ther entry-level math courses (including pre-calculus):</w:t>
            </w:r>
            <w:r w:rsidRPr="007D50D1">
              <w:rPr>
                <w:rFonts w:eastAsia="Times New Roman" w:cstheme="minorHAnsi"/>
              </w:rPr>
              <w:t xml:space="preserve"> </w:t>
            </w:r>
          </w:p>
          <w:p w:rsidR="007D50D1" w:rsidRDefault="007D50D1" w:rsidP="00EC2BC7">
            <w:pPr>
              <w:rPr>
                <w:rFonts w:eastAsia="Times New Roman" w:cstheme="minorHAnsi"/>
              </w:rPr>
            </w:pPr>
            <w:r>
              <w:rPr>
                <w:rFonts w:eastAsia="Times New Roman" w:cstheme="minorHAnsi"/>
              </w:rPr>
              <w:t>Requires Smarter Balanced Level 3 or 4</w:t>
            </w:r>
            <w:r w:rsidRPr="00321330">
              <w:rPr>
                <w:rFonts w:eastAsia="Times New Roman" w:cstheme="minorHAnsi"/>
              </w:rPr>
              <w:t xml:space="preserve"> </w:t>
            </w:r>
            <w:r w:rsidRPr="004E7985">
              <w:rPr>
                <w:rFonts w:eastAsia="Times New Roman" w:cstheme="minorHAnsi"/>
                <w:b/>
              </w:rPr>
              <w:t>plus</w:t>
            </w:r>
            <w:r>
              <w:rPr>
                <w:rFonts w:eastAsia="Times New Roman" w:cstheme="minorHAnsi"/>
              </w:rPr>
              <w:t xml:space="preserve"> </w:t>
            </w:r>
          </w:p>
          <w:p w:rsidR="007D50D1" w:rsidRDefault="007D50D1" w:rsidP="00EC2BC7">
            <w:pPr>
              <w:rPr>
                <w:rFonts w:eastAsia="Times New Roman" w:cstheme="minorHAnsi"/>
              </w:rPr>
            </w:pPr>
            <w:r w:rsidRPr="00321330">
              <w:rPr>
                <w:rFonts w:eastAsia="Times New Roman" w:cstheme="minorHAnsi"/>
              </w:rPr>
              <w:t>B or better in a</w:t>
            </w:r>
            <w:r>
              <w:rPr>
                <w:rFonts w:eastAsia="Times New Roman" w:cstheme="minorHAnsi"/>
              </w:rPr>
              <w:t xml:space="preserve"> high school</w:t>
            </w:r>
            <w:r w:rsidRPr="00321330">
              <w:rPr>
                <w:rFonts w:eastAsia="Times New Roman" w:cstheme="minorHAnsi"/>
              </w:rPr>
              <w:t xml:space="preserve"> pre</w:t>
            </w:r>
            <w:r>
              <w:rPr>
                <w:rFonts w:eastAsia="Times New Roman" w:cstheme="minorHAnsi"/>
              </w:rPr>
              <w:t>-</w:t>
            </w:r>
            <w:r w:rsidRPr="00321330">
              <w:rPr>
                <w:rFonts w:eastAsia="Times New Roman" w:cstheme="minorHAnsi"/>
              </w:rPr>
              <w:t>calculus or higher course</w:t>
            </w:r>
          </w:p>
          <w:p w:rsidR="00527072" w:rsidRPr="00321330" w:rsidRDefault="00527072" w:rsidP="00EC2BC7">
            <w:pPr>
              <w:rPr>
                <w:rFonts w:cstheme="minorHAnsi"/>
                <w:lang w:val="en"/>
              </w:rPr>
            </w:pPr>
          </w:p>
        </w:tc>
        <w:tc>
          <w:tcPr>
            <w:tcW w:w="2880" w:type="dxa"/>
            <w:shd w:val="clear" w:color="auto" w:fill="auto"/>
          </w:tcPr>
          <w:p w:rsidR="007D50D1" w:rsidRDefault="007D50D1" w:rsidP="00527072">
            <w:pPr>
              <w:shd w:val="clear" w:color="auto" w:fill="BFBFBF" w:themeFill="background1" w:themeFillShade="BF"/>
              <w:rPr>
                <w:rFonts w:eastAsia="Times New Roman" w:cstheme="minorHAnsi"/>
              </w:rPr>
            </w:pPr>
            <w:r>
              <w:rPr>
                <w:rFonts w:eastAsia="Times New Roman" w:cstheme="minorHAnsi"/>
              </w:rPr>
              <w:t xml:space="preserve">For </w:t>
            </w:r>
            <w:r w:rsidR="003D219D">
              <w:rPr>
                <w:rFonts w:eastAsia="Times New Roman" w:cstheme="minorHAnsi"/>
              </w:rPr>
              <w:t xml:space="preserve">placement into </w:t>
            </w:r>
            <w:r>
              <w:rPr>
                <w:rFonts w:eastAsia="Times New Roman" w:cstheme="minorHAnsi"/>
              </w:rPr>
              <w:t>any</w:t>
            </w:r>
            <w:r w:rsidRPr="00321330">
              <w:rPr>
                <w:rFonts w:eastAsia="Times New Roman" w:cstheme="minorHAnsi"/>
                <w:b/>
              </w:rPr>
              <w:t xml:space="preserve"> entry college-level</w:t>
            </w:r>
            <w:r w:rsidRPr="00321330">
              <w:rPr>
                <w:rFonts w:eastAsia="Times New Roman" w:cstheme="minorHAnsi"/>
              </w:rPr>
              <w:t xml:space="preserve"> English course (including but not limited to English Composition or its equivalent)</w:t>
            </w:r>
            <w:r w:rsidR="003D219D">
              <w:rPr>
                <w:rFonts w:eastAsia="Times New Roman" w:cstheme="minorHAnsi"/>
              </w:rPr>
              <w:t>:</w:t>
            </w:r>
          </w:p>
          <w:p w:rsidR="007D50D1" w:rsidRDefault="007D50D1" w:rsidP="00EC2BC7">
            <w:pPr>
              <w:rPr>
                <w:rFonts w:eastAsia="Times New Roman" w:cstheme="minorHAnsi"/>
              </w:rPr>
            </w:pPr>
          </w:p>
          <w:p w:rsidR="007D50D1" w:rsidRPr="00321330" w:rsidRDefault="007D50D1" w:rsidP="007D50D1">
            <w:pPr>
              <w:widowControl w:val="0"/>
              <w:rPr>
                <w:rFonts w:eastAsia="Times New Roman" w:cstheme="minorHAnsi"/>
              </w:rPr>
            </w:pPr>
            <w:r>
              <w:rPr>
                <w:rFonts w:eastAsia="Times New Roman" w:cstheme="minorHAnsi"/>
              </w:rPr>
              <w:t>1) Level 3 or 4 score on high school Smarter Balanced assessment</w:t>
            </w:r>
          </w:p>
          <w:p w:rsidR="007D50D1" w:rsidRDefault="007D50D1" w:rsidP="007D50D1">
            <w:pPr>
              <w:widowControl w:val="0"/>
              <w:rPr>
                <w:rFonts w:eastAsia="Times New Roman" w:cstheme="minorHAnsi"/>
              </w:rPr>
            </w:pPr>
          </w:p>
          <w:p w:rsidR="0021114D" w:rsidRDefault="0021114D" w:rsidP="007D50D1">
            <w:pPr>
              <w:widowControl w:val="0"/>
              <w:rPr>
                <w:rFonts w:eastAsia="Times New Roman" w:cstheme="minorHAnsi"/>
              </w:rPr>
            </w:pPr>
            <w:r>
              <w:rPr>
                <w:rFonts w:eastAsia="Times New Roman" w:cstheme="minorHAnsi"/>
              </w:rPr>
              <w:t>OR</w:t>
            </w:r>
          </w:p>
          <w:p w:rsidR="0021114D" w:rsidRDefault="0021114D" w:rsidP="007D50D1">
            <w:pPr>
              <w:widowControl w:val="0"/>
              <w:rPr>
                <w:rFonts w:eastAsia="Times New Roman" w:cstheme="minorHAnsi"/>
              </w:rPr>
            </w:pPr>
          </w:p>
          <w:p w:rsidR="007D50D1" w:rsidRDefault="007D50D1" w:rsidP="007D50D1">
            <w:pPr>
              <w:widowControl w:val="0"/>
              <w:rPr>
                <w:rFonts w:eastAsia="Times New Roman" w:cstheme="minorHAnsi"/>
              </w:rPr>
            </w:pPr>
            <w:r>
              <w:rPr>
                <w:rFonts w:eastAsia="Times New Roman" w:cstheme="minorHAnsi"/>
              </w:rPr>
              <w:t xml:space="preserve">2) B or better grade in designated </w:t>
            </w:r>
            <w:r w:rsidRPr="007D50D1">
              <w:rPr>
                <w:rFonts w:eastAsia="Times New Roman" w:cstheme="minorHAnsi"/>
                <w:i/>
              </w:rPr>
              <w:t xml:space="preserve">Bridge to College </w:t>
            </w:r>
            <w:r w:rsidR="000B18BE">
              <w:rPr>
                <w:rFonts w:eastAsia="Times New Roman" w:cstheme="minorHAnsi"/>
                <w:i/>
              </w:rPr>
              <w:t>English</w:t>
            </w:r>
            <w:r>
              <w:rPr>
                <w:rFonts w:eastAsia="Times New Roman" w:cstheme="minorHAnsi"/>
              </w:rPr>
              <w:t xml:space="preserve"> class as a senior</w:t>
            </w:r>
          </w:p>
          <w:p w:rsidR="007D50D1" w:rsidRPr="00321330" w:rsidRDefault="007D50D1" w:rsidP="00EC2BC7">
            <w:pPr>
              <w:rPr>
                <w:rFonts w:cstheme="minorHAnsi"/>
                <w:lang w:val="en"/>
              </w:rPr>
            </w:pPr>
          </w:p>
        </w:tc>
      </w:tr>
    </w:tbl>
    <w:p w:rsidR="00EC2BC7" w:rsidRPr="00EC2BC7" w:rsidRDefault="00EC2BC7" w:rsidP="00EC2BC7">
      <w:pPr>
        <w:rPr>
          <w:lang w:val="en"/>
        </w:rPr>
      </w:pPr>
    </w:p>
    <w:p w:rsidR="00321330" w:rsidRDefault="00321330" w:rsidP="00321330">
      <w:pPr>
        <w:rPr>
          <w:rFonts w:ascii="Times New Roman" w:eastAsia="Times New Roman" w:hAnsi="Times New Roman" w:cs="Times New Roman"/>
          <w:b/>
        </w:rPr>
      </w:pPr>
      <w:r>
        <w:rPr>
          <w:rFonts w:ascii="Times New Roman" w:eastAsia="Times New Roman" w:hAnsi="Times New Roman" w:cs="Times New Roman"/>
          <w:b/>
        </w:rPr>
        <w:t>NOTES:</w:t>
      </w:r>
    </w:p>
    <w:p w:rsidR="00FA1DC8" w:rsidRPr="00237AE2" w:rsidRDefault="00FA1DC8" w:rsidP="00FA1DC8">
      <w:pPr>
        <w:numPr>
          <w:ilvl w:val="0"/>
          <w:numId w:val="2"/>
        </w:numPr>
        <w:pBdr>
          <w:top w:val="nil"/>
          <w:left w:val="nil"/>
          <w:bottom w:val="nil"/>
          <w:right w:val="nil"/>
          <w:between w:val="nil"/>
        </w:pBdr>
        <w:spacing w:line="276" w:lineRule="auto"/>
        <w:contextualSpacing/>
        <w:rPr>
          <w:rFonts w:eastAsia="Times New Roman" w:cstheme="minorHAnsi"/>
        </w:rPr>
      </w:pPr>
      <w:r w:rsidRPr="007D50D1">
        <w:rPr>
          <w:rFonts w:eastAsia="Times New Roman" w:cstheme="minorHAnsi"/>
          <w:b/>
        </w:rPr>
        <w:t>Dual-credit students</w:t>
      </w:r>
      <w:r w:rsidRPr="00237AE2">
        <w:rPr>
          <w:rFonts w:eastAsia="Times New Roman" w:cstheme="minorHAnsi"/>
        </w:rPr>
        <w:t xml:space="preserve"> (Running Start, College in the High School) can use their discipline-appropriate Smarter Balance scores to enroll in </w:t>
      </w:r>
      <w:r w:rsidRPr="00237AE2">
        <w:rPr>
          <w:rFonts w:eastAsia="Times New Roman" w:cstheme="minorHAnsi"/>
          <w:b/>
          <w:i/>
        </w:rPr>
        <w:t>Math&amp; 107</w:t>
      </w:r>
      <w:r w:rsidRPr="00237AE2">
        <w:rPr>
          <w:rFonts w:eastAsia="Times New Roman" w:cstheme="minorHAnsi"/>
          <w:i/>
        </w:rPr>
        <w:t xml:space="preserve"> (Math in Society), </w:t>
      </w:r>
      <w:r w:rsidRPr="00237AE2">
        <w:rPr>
          <w:rFonts w:eastAsia="Times New Roman" w:cstheme="minorHAnsi"/>
          <w:b/>
          <w:i/>
        </w:rPr>
        <w:t>Math&amp; 146</w:t>
      </w:r>
      <w:r w:rsidRPr="00237AE2">
        <w:rPr>
          <w:rFonts w:eastAsia="Times New Roman" w:cstheme="minorHAnsi"/>
          <w:i/>
        </w:rPr>
        <w:t xml:space="preserve"> (Statistics), or their equivalents </w:t>
      </w:r>
      <w:r w:rsidRPr="00237AE2">
        <w:rPr>
          <w:rFonts w:eastAsia="Times New Roman" w:cstheme="minorHAnsi"/>
        </w:rPr>
        <w:t xml:space="preserve">(requires score </w:t>
      </w:r>
      <w:r w:rsidRPr="00237AE2">
        <w:rPr>
          <w:rFonts w:eastAsia="Times New Roman" w:cstheme="minorHAnsi"/>
          <w:b/>
        </w:rPr>
        <w:t>plus</w:t>
      </w:r>
      <w:r w:rsidRPr="00237AE2">
        <w:rPr>
          <w:rFonts w:eastAsia="Times New Roman" w:cstheme="minorHAnsi"/>
        </w:rPr>
        <w:t xml:space="preserve"> B or better in Algebra 2) or an</w:t>
      </w:r>
      <w:r w:rsidRPr="00237AE2">
        <w:rPr>
          <w:rFonts w:eastAsia="Times New Roman" w:cstheme="minorHAnsi"/>
          <w:b/>
        </w:rPr>
        <w:t xml:space="preserve"> entry college-level</w:t>
      </w:r>
      <w:r w:rsidRPr="00237AE2">
        <w:rPr>
          <w:rFonts w:eastAsia="Times New Roman" w:cstheme="minorHAnsi"/>
        </w:rPr>
        <w:t xml:space="preserve"> English course (including but not limited to English Composition or its equivalent).</w:t>
      </w:r>
    </w:p>
    <w:p w:rsidR="00321330" w:rsidRPr="00237AE2" w:rsidRDefault="00321330" w:rsidP="00321330">
      <w:pPr>
        <w:numPr>
          <w:ilvl w:val="0"/>
          <w:numId w:val="2"/>
        </w:numPr>
        <w:pBdr>
          <w:top w:val="nil"/>
          <w:left w:val="nil"/>
          <w:bottom w:val="nil"/>
          <w:right w:val="nil"/>
          <w:between w:val="nil"/>
        </w:pBdr>
        <w:spacing w:line="276" w:lineRule="auto"/>
        <w:contextualSpacing/>
        <w:rPr>
          <w:rFonts w:eastAsia="Times New Roman" w:cstheme="minorHAnsi"/>
        </w:rPr>
      </w:pPr>
      <w:r w:rsidRPr="00237AE2">
        <w:rPr>
          <w:rFonts w:eastAsia="Times New Roman" w:cstheme="minorHAnsi"/>
        </w:rPr>
        <w:t>For all score levels in math, placement into more advanced courses than designated in the agreement will depend on additional local institutional placement processes (transcript, high school GPA, additional testing, etc.).</w:t>
      </w:r>
    </w:p>
    <w:p w:rsidR="00321330" w:rsidRPr="00237AE2" w:rsidRDefault="00237AE2" w:rsidP="00237AE2">
      <w:pPr>
        <w:pStyle w:val="ListParagraph"/>
        <w:numPr>
          <w:ilvl w:val="0"/>
          <w:numId w:val="2"/>
        </w:numPr>
        <w:spacing w:after="0" w:line="240" w:lineRule="auto"/>
        <w:rPr>
          <w:rFonts w:asciiTheme="minorHAnsi" w:hAnsiTheme="minorHAnsi" w:cstheme="minorHAnsi"/>
          <w:sz w:val="24"/>
          <w:szCs w:val="24"/>
        </w:rPr>
      </w:pPr>
      <w:r w:rsidRPr="00237AE2">
        <w:rPr>
          <w:rFonts w:asciiTheme="minorHAnsi" w:hAnsiTheme="minorHAnsi" w:cstheme="minorHAnsi"/>
          <w:sz w:val="24"/>
          <w:szCs w:val="24"/>
        </w:rPr>
        <w:t xml:space="preserve">The agreements apply </w:t>
      </w:r>
      <w:r w:rsidRPr="00237AE2">
        <w:rPr>
          <w:rFonts w:asciiTheme="minorHAnsi" w:hAnsiTheme="minorHAnsi" w:cstheme="minorHAnsi"/>
          <w:b/>
          <w:sz w:val="24"/>
          <w:szCs w:val="24"/>
        </w:rPr>
        <w:t>only</w:t>
      </w:r>
      <w:r w:rsidRPr="00237AE2">
        <w:rPr>
          <w:rFonts w:asciiTheme="minorHAnsi" w:hAnsiTheme="minorHAnsi" w:cstheme="minorHAnsi"/>
          <w:sz w:val="24"/>
          <w:szCs w:val="24"/>
        </w:rPr>
        <w:t xml:space="preserve"> to placement considerations for high school students with Smarter Balanced high school assessment scores admitted to and enrolling in the academic year (for math, fall quarter only) immediately following high school graduation </w:t>
      </w:r>
      <w:r w:rsidRPr="00237AE2">
        <w:rPr>
          <w:rFonts w:asciiTheme="minorHAnsi" w:hAnsiTheme="minorHAnsi" w:cstheme="minorHAnsi"/>
          <w:sz w:val="24"/>
          <w:szCs w:val="24"/>
          <w:u w:val="single"/>
        </w:rPr>
        <w:t>or</w:t>
      </w:r>
      <w:r w:rsidRPr="00237AE2">
        <w:rPr>
          <w:rFonts w:asciiTheme="minorHAnsi" w:hAnsiTheme="minorHAnsi" w:cstheme="minorHAnsi"/>
          <w:sz w:val="24"/>
          <w:szCs w:val="24"/>
        </w:rPr>
        <w:t xml:space="preserve"> students enrolling in dual-credit courses in the academic year after taking the assessment. L</w:t>
      </w:r>
      <w:r w:rsidR="00321330" w:rsidRPr="00237AE2">
        <w:rPr>
          <w:rFonts w:eastAsia="Times New Roman" w:cstheme="minorHAnsi"/>
          <w:sz w:val="24"/>
          <w:szCs w:val="24"/>
        </w:rPr>
        <w:t>ocal colleges may extend the time period for honoring the scores for placement.</w:t>
      </w:r>
    </w:p>
    <w:p w:rsidR="00FA1DC8" w:rsidRPr="00237AE2" w:rsidRDefault="00321330" w:rsidP="00FA1DC8">
      <w:pPr>
        <w:numPr>
          <w:ilvl w:val="0"/>
          <w:numId w:val="2"/>
        </w:numPr>
        <w:pBdr>
          <w:top w:val="nil"/>
          <w:left w:val="nil"/>
          <w:bottom w:val="nil"/>
          <w:right w:val="nil"/>
          <w:between w:val="nil"/>
        </w:pBdr>
        <w:spacing w:line="276" w:lineRule="auto"/>
        <w:contextualSpacing/>
        <w:rPr>
          <w:rFonts w:eastAsia="Times New Roman" w:cstheme="minorHAnsi"/>
        </w:rPr>
      </w:pPr>
      <w:r w:rsidRPr="00237AE2">
        <w:rPr>
          <w:rFonts w:eastAsia="Times New Roman" w:cstheme="minorHAnsi"/>
        </w:rPr>
        <w:t xml:space="preserve">The Bridge to College courses are not yet available statewide; </w:t>
      </w:r>
      <w:r w:rsidR="004E7985" w:rsidRPr="00237AE2">
        <w:rPr>
          <w:rFonts w:eastAsia="Times New Roman" w:cstheme="minorHAnsi"/>
        </w:rPr>
        <w:t>the courses can be identified on trans</w:t>
      </w:r>
      <w:r w:rsidR="00CB51E6">
        <w:rPr>
          <w:rFonts w:eastAsia="Times New Roman" w:cstheme="minorHAnsi"/>
        </w:rPr>
        <w:t xml:space="preserve">cripts by a common course code (WA0001 for English, WA0003 for math). </w:t>
      </w:r>
    </w:p>
    <w:p w:rsidR="00237AE2" w:rsidRDefault="00237AE2">
      <w:pPr>
        <w:rPr>
          <w:rFonts w:eastAsia="Times New Roman" w:cstheme="minorHAnsi"/>
        </w:rPr>
      </w:pPr>
      <w:r>
        <w:rPr>
          <w:rFonts w:eastAsia="Times New Roman" w:cstheme="minorHAnsi"/>
        </w:rPr>
        <w:br w:type="page"/>
      </w:r>
    </w:p>
    <w:p w:rsidR="003D219D" w:rsidRPr="002B79AE" w:rsidRDefault="003D219D" w:rsidP="003D219D">
      <w:pPr>
        <w:pStyle w:val="Heading2"/>
        <w:rPr>
          <w:rStyle w:val="Emphasis"/>
          <w:i w:val="0"/>
          <w:iCs w:val="0"/>
        </w:rPr>
      </w:pPr>
      <w:r>
        <w:rPr>
          <w:rStyle w:val="Emphasis"/>
          <w:i w:val="0"/>
          <w:iCs w:val="0"/>
        </w:rPr>
        <w:lastRenderedPageBreak/>
        <w:t xml:space="preserve">Specific </w:t>
      </w:r>
      <w:r w:rsidRPr="002B79AE">
        <w:rPr>
          <w:rStyle w:val="Emphasis"/>
          <w:i w:val="0"/>
          <w:iCs w:val="0"/>
        </w:rPr>
        <w:t>Terms of the Agreement</w:t>
      </w:r>
    </w:p>
    <w:p w:rsidR="003D219D" w:rsidRPr="009060AE" w:rsidRDefault="003D219D" w:rsidP="003D219D">
      <w:pPr>
        <w:rPr>
          <w:rFonts w:ascii="Times New Roman" w:hAnsi="Times New Roman"/>
        </w:rPr>
      </w:pPr>
    </w:p>
    <w:p w:rsidR="003D219D" w:rsidRPr="00A67E2A" w:rsidRDefault="003D219D" w:rsidP="003D219D">
      <w:pPr>
        <w:pStyle w:val="ListParagraph"/>
        <w:numPr>
          <w:ilvl w:val="0"/>
          <w:numId w:val="5"/>
        </w:numPr>
        <w:spacing w:after="0" w:line="240" w:lineRule="auto"/>
        <w:rPr>
          <w:rFonts w:asciiTheme="minorHAnsi" w:hAnsiTheme="minorHAnsi" w:cstheme="minorHAnsi"/>
          <w:sz w:val="24"/>
          <w:szCs w:val="24"/>
        </w:rPr>
      </w:pPr>
      <w:r w:rsidRPr="00A67E2A">
        <w:rPr>
          <w:rFonts w:asciiTheme="minorHAnsi" w:hAnsiTheme="minorHAnsi" w:cstheme="minorHAnsi"/>
          <w:sz w:val="24"/>
          <w:szCs w:val="24"/>
        </w:rPr>
        <w:t>This system-approved placement agreement represents the commitment of Washington’s community and technical colleges to provide high school students with multiple options for placement to establish their readiness for college-level coursework.</w:t>
      </w:r>
    </w:p>
    <w:p w:rsidR="003D219D" w:rsidRPr="00A67E2A" w:rsidRDefault="003D219D" w:rsidP="003D219D">
      <w:pPr>
        <w:rPr>
          <w:rFonts w:cstheme="minorHAnsi"/>
        </w:rPr>
      </w:pPr>
    </w:p>
    <w:p w:rsidR="003D219D" w:rsidRPr="00A67E2A" w:rsidRDefault="003D219D" w:rsidP="003D219D">
      <w:pPr>
        <w:pStyle w:val="ListParagraph"/>
        <w:numPr>
          <w:ilvl w:val="0"/>
          <w:numId w:val="5"/>
        </w:numPr>
        <w:spacing w:after="0" w:line="240" w:lineRule="auto"/>
        <w:rPr>
          <w:rFonts w:asciiTheme="minorHAnsi" w:hAnsiTheme="minorHAnsi" w:cstheme="minorHAnsi"/>
          <w:sz w:val="24"/>
          <w:szCs w:val="24"/>
        </w:rPr>
      </w:pPr>
      <w:r w:rsidRPr="00A67E2A">
        <w:rPr>
          <w:rFonts w:asciiTheme="minorHAnsi" w:hAnsiTheme="minorHAnsi" w:cstheme="minorHAnsi"/>
          <w:sz w:val="24"/>
          <w:szCs w:val="24"/>
        </w:rPr>
        <w:t>The goal of the agreement is to increase the number of students enrolling directly into college courses without remediation by</w:t>
      </w:r>
    </w:p>
    <w:p w:rsidR="003D219D" w:rsidRPr="00A67E2A" w:rsidRDefault="003D219D" w:rsidP="003D219D">
      <w:pPr>
        <w:ind w:left="360"/>
        <w:rPr>
          <w:rFonts w:cstheme="minorHAnsi"/>
        </w:rPr>
      </w:pPr>
      <w:r w:rsidRPr="00A67E2A">
        <w:rPr>
          <w:rFonts w:cstheme="minorHAnsi"/>
        </w:rPr>
        <w:t xml:space="preserve"> </w:t>
      </w:r>
    </w:p>
    <w:p w:rsidR="003D219D" w:rsidRPr="00A67E2A" w:rsidRDefault="003D219D" w:rsidP="003D219D">
      <w:pPr>
        <w:pStyle w:val="ListParagraph"/>
        <w:numPr>
          <w:ilvl w:val="0"/>
          <w:numId w:val="4"/>
        </w:numPr>
        <w:spacing w:after="0" w:line="240" w:lineRule="auto"/>
        <w:rPr>
          <w:rFonts w:asciiTheme="minorHAnsi" w:hAnsiTheme="minorHAnsi" w:cstheme="minorHAnsi"/>
          <w:sz w:val="24"/>
          <w:szCs w:val="24"/>
        </w:rPr>
      </w:pPr>
      <w:r w:rsidRPr="00A67E2A">
        <w:rPr>
          <w:rFonts w:asciiTheme="minorHAnsi" w:hAnsiTheme="minorHAnsi" w:cstheme="minorHAnsi"/>
          <w:sz w:val="24"/>
          <w:szCs w:val="24"/>
        </w:rPr>
        <w:t xml:space="preserve">offering students an early opportunity to know whether they are ready for college-level academic work; </w:t>
      </w:r>
    </w:p>
    <w:p w:rsidR="003D219D" w:rsidRPr="00A67E2A" w:rsidRDefault="003D219D" w:rsidP="003D219D">
      <w:pPr>
        <w:pStyle w:val="ListParagraph"/>
        <w:numPr>
          <w:ilvl w:val="0"/>
          <w:numId w:val="4"/>
        </w:numPr>
        <w:spacing w:after="0" w:line="240" w:lineRule="auto"/>
        <w:rPr>
          <w:rFonts w:asciiTheme="minorHAnsi" w:hAnsiTheme="minorHAnsi" w:cstheme="minorHAnsi"/>
          <w:sz w:val="24"/>
          <w:szCs w:val="24"/>
        </w:rPr>
      </w:pPr>
      <w:r w:rsidRPr="00A67E2A">
        <w:rPr>
          <w:rFonts w:asciiTheme="minorHAnsi" w:hAnsiTheme="minorHAnsi" w:cstheme="minorHAnsi"/>
          <w:sz w:val="24"/>
          <w:szCs w:val="24"/>
        </w:rPr>
        <w:t xml:space="preserve">providing an incentive for achieving the Common Core standards as reflected in the Smarter Balanced assessment; and </w:t>
      </w:r>
    </w:p>
    <w:p w:rsidR="003D219D" w:rsidRPr="00A67E2A" w:rsidRDefault="003D219D" w:rsidP="003D219D">
      <w:pPr>
        <w:pStyle w:val="ListParagraph"/>
        <w:numPr>
          <w:ilvl w:val="0"/>
          <w:numId w:val="4"/>
        </w:numPr>
        <w:spacing w:after="0" w:line="240" w:lineRule="auto"/>
        <w:rPr>
          <w:rFonts w:asciiTheme="minorHAnsi" w:hAnsiTheme="minorHAnsi" w:cstheme="minorHAnsi"/>
          <w:sz w:val="24"/>
          <w:szCs w:val="24"/>
        </w:rPr>
      </w:pPr>
      <w:r w:rsidRPr="00A67E2A">
        <w:rPr>
          <w:rFonts w:asciiTheme="minorHAnsi" w:hAnsiTheme="minorHAnsi" w:cstheme="minorHAnsi"/>
          <w:sz w:val="24"/>
          <w:szCs w:val="24"/>
        </w:rPr>
        <w:t>creating alternatives for students, if necessary, to use their last two years of high school more effectively in getting ready for college-level work.</w:t>
      </w:r>
    </w:p>
    <w:p w:rsidR="003D219D" w:rsidRPr="00A67E2A" w:rsidRDefault="003D219D" w:rsidP="003D219D">
      <w:pPr>
        <w:rPr>
          <w:rFonts w:cstheme="minorHAnsi"/>
        </w:rPr>
      </w:pPr>
    </w:p>
    <w:p w:rsidR="003D219D" w:rsidRPr="00A67E2A" w:rsidRDefault="003D219D" w:rsidP="003D219D">
      <w:pPr>
        <w:pStyle w:val="ListParagraph"/>
        <w:numPr>
          <w:ilvl w:val="0"/>
          <w:numId w:val="5"/>
        </w:numPr>
        <w:spacing w:after="0" w:line="240" w:lineRule="auto"/>
        <w:rPr>
          <w:rFonts w:asciiTheme="minorHAnsi" w:hAnsiTheme="minorHAnsi" w:cstheme="minorHAnsi"/>
          <w:sz w:val="24"/>
          <w:szCs w:val="24"/>
        </w:rPr>
      </w:pPr>
      <w:r w:rsidRPr="00A67E2A">
        <w:rPr>
          <w:rFonts w:asciiTheme="minorHAnsi" w:hAnsiTheme="minorHAnsi" w:cstheme="minorHAnsi"/>
          <w:sz w:val="24"/>
          <w:szCs w:val="24"/>
        </w:rPr>
        <w:t>Anything not specifically defined in the language of the agreement is left up to individual colleges to determine.</w:t>
      </w:r>
    </w:p>
    <w:p w:rsidR="003D219D" w:rsidRPr="00A67E2A" w:rsidRDefault="003D219D" w:rsidP="003D219D">
      <w:pPr>
        <w:ind w:left="360"/>
        <w:rPr>
          <w:rFonts w:cstheme="minorHAnsi"/>
        </w:rPr>
      </w:pPr>
    </w:p>
    <w:p w:rsidR="003D219D" w:rsidRPr="00AA4C20" w:rsidRDefault="003D219D" w:rsidP="008121C9">
      <w:pPr>
        <w:pStyle w:val="ListParagraph"/>
        <w:numPr>
          <w:ilvl w:val="0"/>
          <w:numId w:val="5"/>
        </w:numPr>
        <w:spacing w:after="0" w:line="240" w:lineRule="auto"/>
        <w:rPr>
          <w:rFonts w:eastAsia="Times New Roman" w:cstheme="minorHAnsi"/>
          <w:color w:val="282828"/>
          <w:shd w:val="clear" w:color="auto" w:fill="FFFFFF"/>
        </w:rPr>
      </w:pPr>
      <w:r w:rsidRPr="00291834">
        <w:rPr>
          <w:rFonts w:asciiTheme="minorHAnsi" w:hAnsiTheme="minorHAnsi" w:cstheme="minorHAnsi"/>
          <w:sz w:val="24"/>
          <w:szCs w:val="24"/>
        </w:rPr>
        <w:t xml:space="preserve">This agreement </w:t>
      </w:r>
      <w:r w:rsidR="00CA4EB7">
        <w:rPr>
          <w:rFonts w:asciiTheme="minorHAnsi" w:hAnsiTheme="minorHAnsi" w:cstheme="minorHAnsi"/>
          <w:sz w:val="24"/>
          <w:szCs w:val="24"/>
        </w:rPr>
        <w:t>applies beginning with students taking the high school assessment in spring 2018</w:t>
      </w:r>
      <w:r w:rsidRPr="00291834">
        <w:rPr>
          <w:rFonts w:asciiTheme="minorHAnsi" w:hAnsiTheme="minorHAnsi" w:cstheme="minorHAnsi"/>
          <w:sz w:val="24"/>
          <w:szCs w:val="24"/>
        </w:rPr>
        <w:t xml:space="preserve"> </w:t>
      </w:r>
      <w:r w:rsidR="00CA4EB7">
        <w:rPr>
          <w:rFonts w:asciiTheme="minorHAnsi" w:hAnsiTheme="minorHAnsi" w:cstheme="minorHAnsi"/>
          <w:sz w:val="24"/>
          <w:szCs w:val="24"/>
        </w:rPr>
        <w:t xml:space="preserve">and is in effect for </w:t>
      </w:r>
      <w:r w:rsidRPr="00291834">
        <w:rPr>
          <w:rFonts w:asciiTheme="minorHAnsi" w:hAnsiTheme="minorHAnsi" w:cstheme="minorHAnsi"/>
          <w:sz w:val="24"/>
          <w:szCs w:val="24"/>
        </w:rPr>
        <w:t xml:space="preserve">the high school graduating classes through the Class of 2022. It will be reviewed and renewed </w:t>
      </w:r>
      <w:r w:rsidR="00084EE9" w:rsidRPr="00291834">
        <w:rPr>
          <w:rFonts w:asciiTheme="minorHAnsi" w:hAnsiTheme="minorHAnsi" w:cstheme="minorHAnsi"/>
          <w:sz w:val="24"/>
          <w:szCs w:val="24"/>
        </w:rPr>
        <w:t>or revised formally by winter 2021</w:t>
      </w:r>
      <w:r w:rsidRPr="00291834">
        <w:rPr>
          <w:rFonts w:asciiTheme="minorHAnsi" w:hAnsiTheme="minorHAnsi" w:cstheme="minorHAnsi"/>
          <w:sz w:val="24"/>
          <w:szCs w:val="24"/>
        </w:rPr>
        <w:t xml:space="preserve"> </w:t>
      </w:r>
      <w:r w:rsidR="00291834" w:rsidRPr="00A67E2A">
        <w:rPr>
          <w:rFonts w:asciiTheme="minorHAnsi" w:hAnsiTheme="minorHAnsi" w:cstheme="minorHAnsi"/>
          <w:sz w:val="24"/>
          <w:szCs w:val="24"/>
        </w:rPr>
        <w:t>based on relevant data gathered on the Smarter Balanced assessment, including a) correlations with SAT/ACT scores, b) grade 12 student performance, and c) student performance on placement tests into and success in entry college-level courses, especially math and English</w:t>
      </w:r>
      <w:r w:rsidR="00291834">
        <w:rPr>
          <w:rFonts w:asciiTheme="minorHAnsi" w:hAnsiTheme="minorHAnsi" w:cstheme="minorHAnsi"/>
          <w:sz w:val="24"/>
          <w:szCs w:val="24"/>
        </w:rPr>
        <w:t>.</w:t>
      </w:r>
    </w:p>
    <w:p w:rsidR="00CA4EB7" w:rsidRPr="00AA4C20" w:rsidRDefault="00CA4EB7" w:rsidP="00AA4C20">
      <w:pPr>
        <w:pStyle w:val="ListParagraph"/>
        <w:rPr>
          <w:rFonts w:eastAsia="Times New Roman" w:cstheme="minorHAnsi"/>
          <w:color w:val="282828"/>
          <w:shd w:val="clear" w:color="auto" w:fill="FFFFFF"/>
        </w:rPr>
      </w:pPr>
    </w:p>
    <w:p w:rsidR="00CA4EB7" w:rsidRPr="00AA4C20" w:rsidRDefault="00CA4EB7" w:rsidP="008121C9">
      <w:pPr>
        <w:pStyle w:val="ListParagraph"/>
        <w:numPr>
          <w:ilvl w:val="0"/>
          <w:numId w:val="5"/>
        </w:numPr>
        <w:spacing w:after="0" w:line="240" w:lineRule="auto"/>
        <w:rPr>
          <w:rFonts w:eastAsia="Times New Roman" w:cstheme="minorHAnsi"/>
          <w:color w:val="282828"/>
          <w:sz w:val="24"/>
          <w:szCs w:val="24"/>
          <w:shd w:val="clear" w:color="auto" w:fill="FFFFFF"/>
        </w:rPr>
      </w:pPr>
      <w:r>
        <w:rPr>
          <w:rFonts w:eastAsia="Times New Roman" w:cstheme="minorHAnsi"/>
          <w:color w:val="282828"/>
          <w:shd w:val="clear" w:color="auto" w:fill="FFFFFF"/>
        </w:rPr>
        <w:t xml:space="preserve"> </w:t>
      </w:r>
      <w:r w:rsidRPr="00AA4C20">
        <w:rPr>
          <w:rFonts w:eastAsia="Times New Roman" w:cstheme="minorHAnsi"/>
          <w:color w:val="282828"/>
          <w:sz w:val="24"/>
          <w:szCs w:val="24"/>
          <w:shd w:val="clear" w:color="auto" w:fill="FFFFFF"/>
        </w:rPr>
        <w:t>High school students w</w:t>
      </w:r>
      <w:bookmarkStart w:id="0" w:name="_GoBack"/>
      <w:bookmarkEnd w:id="0"/>
      <w:r w:rsidRPr="00AA4C20">
        <w:rPr>
          <w:rFonts w:eastAsia="Times New Roman" w:cstheme="minorHAnsi"/>
          <w:color w:val="282828"/>
          <w:sz w:val="24"/>
          <w:szCs w:val="24"/>
          <w:shd w:val="clear" w:color="auto" w:fill="FFFFFF"/>
        </w:rPr>
        <w:t xml:space="preserve">ho took the previous version of the Smarter Balanced high school assessment as juniors in spring 2017 will be able to use the results for placement in the 2018-19 academic year under the terms of the </w:t>
      </w:r>
      <w:hyperlink r:id="rId7" w:history="1">
        <w:r w:rsidRPr="00AA4C20">
          <w:rPr>
            <w:rStyle w:val="Hyperlink"/>
            <w:rFonts w:eastAsia="Times New Roman" w:cstheme="minorHAnsi"/>
            <w:sz w:val="24"/>
            <w:szCs w:val="24"/>
            <w:shd w:val="clear" w:color="auto" w:fill="FFFFFF"/>
          </w:rPr>
          <w:t>May 2017 system agreement</w:t>
        </w:r>
      </w:hyperlink>
      <w:r w:rsidRPr="00AA4C20">
        <w:rPr>
          <w:rFonts w:eastAsia="Times New Roman" w:cstheme="minorHAnsi"/>
          <w:color w:val="282828"/>
          <w:sz w:val="24"/>
          <w:szCs w:val="24"/>
          <w:shd w:val="clear" w:color="auto" w:fill="FFFFFF"/>
        </w:rPr>
        <w:t xml:space="preserve">. </w:t>
      </w:r>
    </w:p>
    <w:p w:rsidR="00291834" w:rsidRPr="00291834" w:rsidRDefault="00291834" w:rsidP="00291834">
      <w:pPr>
        <w:rPr>
          <w:rFonts w:eastAsia="Times New Roman" w:cstheme="minorHAnsi"/>
          <w:color w:val="282828"/>
          <w:shd w:val="clear" w:color="auto" w:fill="FFFFFF"/>
        </w:rPr>
      </w:pPr>
    </w:p>
    <w:p w:rsidR="003D219D" w:rsidRPr="00880195" w:rsidRDefault="003D219D">
      <w:pPr>
        <w:rPr>
          <w:rFonts w:eastAsia="Times New Roman" w:cstheme="minorHAnsi"/>
          <w:color w:val="282828"/>
          <w:shd w:val="clear" w:color="auto" w:fill="FFFFFF"/>
        </w:rPr>
      </w:pPr>
      <w:r w:rsidRPr="00A67E2A">
        <w:rPr>
          <w:rFonts w:eastAsia="Times New Roman" w:cstheme="minorHAnsi"/>
          <w:color w:val="282828"/>
          <w:shd w:val="clear" w:color="auto" w:fill="FFFFFF"/>
        </w:rPr>
        <w:t xml:space="preserve">Please contact Bill Moore (360-704-4346, </w:t>
      </w:r>
      <w:hyperlink r:id="rId8" w:history="1">
        <w:r w:rsidRPr="00A67E2A">
          <w:rPr>
            <w:rStyle w:val="Hyperlink"/>
            <w:rFonts w:eastAsia="Times New Roman" w:cstheme="minorHAnsi"/>
            <w:shd w:val="clear" w:color="auto" w:fill="FFFFFF"/>
          </w:rPr>
          <w:t>bmoore@sbctc.edu</w:t>
        </w:r>
      </w:hyperlink>
      <w:r w:rsidRPr="00A67E2A">
        <w:rPr>
          <w:rFonts w:eastAsia="Times New Roman" w:cstheme="minorHAnsi"/>
          <w:color w:val="282828"/>
          <w:shd w:val="clear" w:color="auto" w:fill="FFFFFF"/>
        </w:rPr>
        <w:t>) if you have any questions.</w:t>
      </w:r>
    </w:p>
    <w:sectPr w:rsidR="003D219D" w:rsidRPr="00880195" w:rsidSect="00465C0D">
      <w:footerReference w:type="even"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BE1" w:rsidRDefault="00057BE1" w:rsidP="00BA1F36">
      <w:r>
        <w:separator/>
      </w:r>
    </w:p>
  </w:endnote>
  <w:endnote w:type="continuationSeparator" w:id="0">
    <w:p w:rsidR="00057BE1" w:rsidRDefault="00057BE1" w:rsidP="00BA1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30540684"/>
      <w:docPartObj>
        <w:docPartGallery w:val="Page Numbers (Bottom of Page)"/>
        <w:docPartUnique/>
      </w:docPartObj>
    </w:sdtPr>
    <w:sdtEndPr>
      <w:rPr>
        <w:rStyle w:val="PageNumber"/>
      </w:rPr>
    </w:sdtEndPr>
    <w:sdtContent>
      <w:p w:rsidR="00BA1F36" w:rsidRDefault="00BA1F36" w:rsidP="005B41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A1F36" w:rsidRDefault="00BA1F36" w:rsidP="00BA1F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42831924"/>
      <w:docPartObj>
        <w:docPartGallery w:val="Page Numbers (Bottom of Page)"/>
        <w:docPartUnique/>
      </w:docPartObj>
    </w:sdtPr>
    <w:sdtEndPr>
      <w:rPr>
        <w:rStyle w:val="PageNumber"/>
      </w:rPr>
    </w:sdtEndPr>
    <w:sdtContent>
      <w:p w:rsidR="00BA1F36" w:rsidRDefault="00BA1F36" w:rsidP="005B41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57BE1">
          <w:rPr>
            <w:rStyle w:val="PageNumber"/>
            <w:noProof/>
          </w:rPr>
          <w:t>1</w:t>
        </w:r>
        <w:r>
          <w:rPr>
            <w:rStyle w:val="PageNumber"/>
          </w:rPr>
          <w:fldChar w:fldCharType="end"/>
        </w:r>
      </w:p>
    </w:sdtContent>
  </w:sdt>
  <w:p w:rsidR="00BA1F36" w:rsidRDefault="00BA1F36" w:rsidP="00BA1F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BE1" w:rsidRDefault="00057BE1" w:rsidP="00BA1F36">
      <w:r>
        <w:separator/>
      </w:r>
    </w:p>
  </w:footnote>
  <w:footnote w:type="continuationSeparator" w:id="0">
    <w:p w:rsidR="00057BE1" w:rsidRDefault="00057BE1" w:rsidP="00BA1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A99"/>
    <w:multiLevelType w:val="hybridMultilevel"/>
    <w:tmpl w:val="190C24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D239A"/>
    <w:multiLevelType w:val="hybridMultilevel"/>
    <w:tmpl w:val="DD0EFAF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DC25D0"/>
    <w:multiLevelType w:val="multilevel"/>
    <w:tmpl w:val="9A2C26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BB10DF5"/>
    <w:multiLevelType w:val="hybridMultilevel"/>
    <w:tmpl w:val="3F54D5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B284F"/>
    <w:multiLevelType w:val="hybridMultilevel"/>
    <w:tmpl w:val="387E9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9773A"/>
    <w:multiLevelType w:val="hybridMultilevel"/>
    <w:tmpl w:val="E6E69B3C"/>
    <w:lvl w:ilvl="0" w:tplc="C660E85E">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107DF0"/>
    <w:multiLevelType w:val="hybridMultilevel"/>
    <w:tmpl w:val="4220174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E07DC7"/>
    <w:multiLevelType w:val="hybridMultilevel"/>
    <w:tmpl w:val="FBD247C2"/>
    <w:lvl w:ilvl="0" w:tplc="5C28E9A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D56447"/>
    <w:multiLevelType w:val="hybridMultilevel"/>
    <w:tmpl w:val="AA4A7C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C469F3"/>
    <w:multiLevelType w:val="hybridMultilevel"/>
    <w:tmpl w:val="C08C5C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602969"/>
    <w:multiLevelType w:val="hybridMultilevel"/>
    <w:tmpl w:val="FBD247C2"/>
    <w:lvl w:ilvl="0" w:tplc="5C28E9A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43128A"/>
    <w:multiLevelType w:val="hybridMultilevel"/>
    <w:tmpl w:val="316E91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C16FBD"/>
    <w:multiLevelType w:val="hybridMultilevel"/>
    <w:tmpl w:val="723ABC2E"/>
    <w:lvl w:ilvl="0" w:tplc="7C1821A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5E0CA7"/>
    <w:multiLevelType w:val="hybridMultilevel"/>
    <w:tmpl w:val="166EF1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E50797"/>
    <w:multiLevelType w:val="hybridMultilevel"/>
    <w:tmpl w:val="ACF24F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CB570B"/>
    <w:multiLevelType w:val="hybridMultilevel"/>
    <w:tmpl w:val="3B4C5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D17890"/>
    <w:multiLevelType w:val="hybridMultilevel"/>
    <w:tmpl w:val="8D92B992"/>
    <w:lvl w:ilvl="0" w:tplc="707E2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5"/>
  </w:num>
  <w:num w:numId="4">
    <w:abstractNumId w:val="1"/>
  </w:num>
  <w:num w:numId="5">
    <w:abstractNumId w:val="16"/>
  </w:num>
  <w:num w:numId="6">
    <w:abstractNumId w:val="11"/>
  </w:num>
  <w:num w:numId="7">
    <w:abstractNumId w:val="9"/>
  </w:num>
  <w:num w:numId="8">
    <w:abstractNumId w:val="12"/>
  </w:num>
  <w:num w:numId="9">
    <w:abstractNumId w:val="14"/>
  </w:num>
  <w:num w:numId="10">
    <w:abstractNumId w:val="4"/>
  </w:num>
  <w:num w:numId="11">
    <w:abstractNumId w:val="3"/>
  </w:num>
  <w:num w:numId="12">
    <w:abstractNumId w:val="0"/>
  </w:num>
  <w:num w:numId="13">
    <w:abstractNumId w:val="7"/>
  </w:num>
  <w:num w:numId="14">
    <w:abstractNumId w:val="10"/>
  </w:num>
  <w:num w:numId="15">
    <w:abstractNumId w:val="13"/>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BC7"/>
    <w:rsid w:val="00007C9D"/>
    <w:rsid w:val="00057BE1"/>
    <w:rsid w:val="000724B8"/>
    <w:rsid w:val="00084EE9"/>
    <w:rsid w:val="000A7DEC"/>
    <w:rsid w:val="000B18BE"/>
    <w:rsid w:val="001333D4"/>
    <w:rsid w:val="001453C0"/>
    <w:rsid w:val="00155BDF"/>
    <w:rsid w:val="0021114D"/>
    <w:rsid w:val="00237AE2"/>
    <w:rsid w:val="00291834"/>
    <w:rsid w:val="002B79AE"/>
    <w:rsid w:val="003155F6"/>
    <w:rsid w:val="00321330"/>
    <w:rsid w:val="003D219D"/>
    <w:rsid w:val="003D2BBF"/>
    <w:rsid w:val="00436340"/>
    <w:rsid w:val="00442FC2"/>
    <w:rsid w:val="00465C0D"/>
    <w:rsid w:val="00491A34"/>
    <w:rsid w:val="004A0C35"/>
    <w:rsid w:val="004E013D"/>
    <w:rsid w:val="004E7985"/>
    <w:rsid w:val="00527072"/>
    <w:rsid w:val="005330BA"/>
    <w:rsid w:val="005B58DB"/>
    <w:rsid w:val="005E2497"/>
    <w:rsid w:val="006314B8"/>
    <w:rsid w:val="00647881"/>
    <w:rsid w:val="0065130E"/>
    <w:rsid w:val="006705DA"/>
    <w:rsid w:val="006F4650"/>
    <w:rsid w:val="00756D84"/>
    <w:rsid w:val="007A35C4"/>
    <w:rsid w:val="007D50D1"/>
    <w:rsid w:val="00880195"/>
    <w:rsid w:val="00893C30"/>
    <w:rsid w:val="008E59A1"/>
    <w:rsid w:val="008F2CF0"/>
    <w:rsid w:val="00916D2D"/>
    <w:rsid w:val="00977A36"/>
    <w:rsid w:val="009B4E9E"/>
    <w:rsid w:val="009E20F7"/>
    <w:rsid w:val="00A21D7A"/>
    <w:rsid w:val="00A67E2A"/>
    <w:rsid w:val="00A9081F"/>
    <w:rsid w:val="00AA4C20"/>
    <w:rsid w:val="00AB11DD"/>
    <w:rsid w:val="00B41CC5"/>
    <w:rsid w:val="00B74093"/>
    <w:rsid w:val="00BA1F36"/>
    <w:rsid w:val="00BB42CB"/>
    <w:rsid w:val="00C51828"/>
    <w:rsid w:val="00C52370"/>
    <w:rsid w:val="00CA4EB7"/>
    <w:rsid w:val="00CB51E6"/>
    <w:rsid w:val="00D0244A"/>
    <w:rsid w:val="00D72715"/>
    <w:rsid w:val="00DC14C0"/>
    <w:rsid w:val="00DC55BB"/>
    <w:rsid w:val="00E14B34"/>
    <w:rsid w:val="00EC2BC7"/>
    <w:rsid w:val="00FA1DC8"/>
    <w:rsid w:val="00FF5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352E2141-80C6-514F-B50A-6F9A4CCF3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79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2FC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B79AE"/>
    <w:pPr>
      <w:keepNext/>
      <w:keepLines/>
      <w:spacing w:before="40"/>
      <w:outlineLvl w:val="2"/>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EC2BC7"/>
    <w:pPr>
      <w:keepNext/>
      <w:keepLines/>
      <w:pBdr>
        <w:top w:val="nil"/>
        <w:left w:val="nil"/>
        <w:bottom w:val="nil"/>
        <w:right w:val="nil"/>
        <w:between w:val="nil"/>
      </w:pBdr>
      <w:spacing w:before="40" w:line="276" w:lineRule="auto"/>
      <w:outlineLvl w:val="6"/>
    </w:pPr>
    <w:rPr>
      <w:rFonts w:asciiTheme="majorHAnsi" w:eastAsiaTheme="majorEastAsia" w:hAnsiTheme="majorHAnsi" w:cstheme="majorBidi"/>
      <w:i/>
      <w:iCs/>
      <w:color w:val="1F3763" w:themeColor="accent1" w:themeShade="7F"/>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EC2BC7"/>
    <w:rPr>
      <w:rFonts w:asciiTheme="majorHAnsi" w:eastAsiaTheme="majorEastAsia" w:hAnsiTheme="majorHAnsi" w:cstheme="majorBidi"/>
      <w:i/>
      <w:iCs/>
      <w:color w:val="1F3763" w:themeColor="accent1" w:themeShade="7F"/>
      <w:sz w:val="22"/>
      <w:szCs w:val="22"/>
      <w:lang w:val="en"/>
    </w:rPr>
  </w:style>
  <w:style w:type="table" w:styleId="TableGrid">
    <w:name w:val="Table Grid"/>
    <w:basedOn w:val="TableNormal"/>
    <w:uiPriority w:val="59"/>
    <w:rsid w:val="00EC2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2BC7"/>
    <w:pPr>
      <w:spacing w:after="200" w:line="276" w:lineRule="auto"/>
      <w:ind w:left="720"/>
      <w:contextualSpacing/>
    </w:pPr>
    <w:rPr>
      <w:rFonts w:ascii="Calibri" w:eastAsia="Calibri" w:hAnsi="Calibri" w:cs="Times New Roman"/>
      <w:sz w:val="22"/>
      <w:szCs w:val="22"/>
    </w:rPr>
  </w:style>
  <w:style w:type="table" w:styleId="GridTable4-Accent3">
    <w:name w:val="Grid Table 4 Accent 3"/>
    <w:basedOn w:val="TableNormal"/>
    <w:uiPriority w:val="49"/>
    <w:rsid w:val="00EC2BC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
    <w:name w:val="Grid Table 4"/>
    <w:basedOn w:val="TableNormal"/>
    <w:uiPriority w:val="49"/>
    <w:rsid w:val="00EC2BC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rsid w:val="00442FC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42FC2"/>
    <w:rPr>
      <w:color w:val="0000FF"/>
      <w:u w:val="single"/>
    </w:rPr>
  </w:style>
  <w:style w:type="character" w:styleId="Emphasis">
    <w:name w:val="Emphasis"/>
    <w:basedOn w:val="DefaultParagraphFont"/>
    <w:uiPriority w:val="20"/>
    <w:qFormat/>
    <w:rsid w:val="00442FC2"/>
    <w:rPr>
      <w:i/>
      <w:iCs/>
    </w:rPr>
  </w:style>
  <w:style w:type="paragraph" w:styleId="NormalWeb">
    <w:name w:val="Normal (Web)"/>
    <w:basedOn w:val="Normal"/>
    <w:uiPriority w:val="99"/>
    <w:semiHidden/>
    <w:unhideWhenUsed/>
    <w:rsid w:val="004A0C35"/>
    <w:pPr>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DefaultParagraphFont"/>
    <w:uiPriority w:val="99"/>
    <w:rsid w:val="004A0C35"/>
    <w:rPr>
      <w:color w:val="808080"/>
      <w:shd w:val="clear" w:color="auto" w:fill="E6E6E6"/>
    </w:rPr>
  </w:style>
  <w:style w:type="character" w:customStyle="1" w:styleId="Heading1Char">
    <w:name w:val="Heading 1 Char"/>
    <w:basedOn w:val="DefaultParagraphFont"/>
    <w:link w:val="Heading1"/>
    <w:uiPriority w:val="9"/>
    <w:rsid w:val="002B79A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2B79AE"/>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rsid w:val="00BA1F36"/>
    <w:pPr>
      <w:tabs>
        <w:tab w:val="center" w:pos="4680"/>
        <w:tab w:val="right" w:pos="9360"/>
      </w:tabs>
    </w:pPr>
  </w:style>
  <w:style w:type="character" w:customStyle="1" w:styleId="FooterChar">
    <w:name w:val="Footer Char"/>
    <w:basedOn w:val="DefaultParagraphFont"/>
    <w:link w:val="Footer"/>
    <w:uiPriority w:val="99"/>
    <w:rsid w:val="00BA1F36"/>
  </w:style>
  <w:style w:type="character" w:styleId="PageNumber">
    <w:name w:val="page number"/>
    <w:basedOn w:val="DefaultParagraphFont"/>
    <w:uiPriority w:val="99"/>
    <w:semiHidden/>
    <w:unhideWhenUsed/>
    <w:rsid w:val="00BA1F36"/>
  </w:style>
  <w:style w:type="paragraph" w:styleId="BalloonText">
    <w:name w:val="Balloon Text"/>
    <w:basedOn w:val="Normal"/>
    <w:link w:val="BalloonTextChar"/>
    <w:uiPriority w:val="99"/>
    <w:semiHidden/>
    <w:unhideWhenUsed/>
    <w:rsid w:val="00CA4E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E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781088">
      <w:bodyDiv w:val="1"/>
      <w:marLeft w:val="0"/>
      <w:marRight w:val="0"/>
      <w:marTop w:val="0"/>
      <w:marBottom w:val="0"/>
      <w:divBdr>
        <w:top w:val="none" w:sz="0" w:space="0" w:color="auto"/>
        <w:left w:val="none" w:sz="0" w:space="0" w:color="auto"/>
        <w:bottom w:val="none" w:sz="0" w:space="0" w:color="auto"/>
        <w:right w:val="none" w:sz="0" w:space="0" w:color="auto"/>
      </w:divBdr>
      <w:divsChild>
        <w:div w:id="1007485613">
          <w:marLeft w:val="0"/>
          <w:marRight w:val="0"/>
          <w:marTop w:val="0"/>
          <w:marBottom w:val="0"/>
          <w:divBdr>
            <w:top w:val="none" w:sz="0" w:space="0" w:color="auto"/>
            <w:left w:val="none" w:sz="0" w:space="0" w:color="auto"/>
            <w:bottom w:val="none" w:sz="0" w:space="0" w:color="auto"/>
            <w:right w:val="none" w:sz="0" w:space="0" w:color="auto"/>
          </w:divBdr>
          <w:divsChild>
            <w:div w:id="1727217837">
              <w:marLeft w:val="0"/>
              <w:marRight w:val="0"/>
              <w:marTop w:val="0"/>
              <w:marBottom w:val="0"/>
              <w:divBdr>
                <w:top w:val="none" w:sz="0" w:space="0" w:color="auto"/>
                <w:left w:val="none" w:sz="0" w:space="0" w:color="auto"/>
                <w:bottom w:val="none" w:sz="0" w:space="0" w:color="auto"/>
                <w:right w:val="none" w:sz="0" w:space="0" w:color="auto"/>
              </w:divBdr>
              <w:divsChild>
                <w:div w:id="46762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41739">
      <w:bodyDiv w:val="1"/>
      <w:marLeft w:val="0"/>
      <w:marRight w:val="0"/>
      <w:marTop w:val="0"/>
      <w:marBottom w:val="0"/>
      <w:divBdr>
        <w:top w:val="none" w:sz="0" w:space="0" w:color="auto"/>
        <w:left w:val="none" w:sz="0" w:space="0" w:color="auto"/>
        <w:bottom w:val="none" w:sz="0" w:space="0" w:color="auto"/>
        <w:right w:val="none" w:sz="0" w:space="0" w:color="auto"/>
      </w:divBdr>
      <w:divsChild>
        <w:div w:id="1228154191">
          <w:marLeft w:val="0"/>
          <w:marRight w:val="0"/>
          <w:marTop w:val="0"/>
          <w:marBottom w:val="0"/>
          <w:divBdr>
            <w:top w:val="none" w:sz="0" w:space="0" w:color="auto"/>
            <w:left w:val="none" w:sz="0" w:space="0" w:color="auto"/>
            <w:bottom w:val="none" w:sz="0" w:space="0" w:color="auto"/>
            <w:right w:val="none" w:sz="0" w:space="0" w:color="auto"/>
          </w:divBdr>
          <w:divsChild>
            <w:div w:id="734740259">
              <w:marLeft w:val="0"/>
              <w:marRight w:val="0"/>
              <w:marTop w:val="0"/>
              <w:marBottom w:val="0"/>
              <w:divBdr>
                <w:top w:val="none" w:sz="0" w:space="0" w:color="auto"/>
                <w:left w:val="none" w:sz="0" w:space="0" w:color="auto"/>
                <w:bottom w:val="none" w:sz="0" w:space="0" w:color="auto"/>
                <w:right w:val="none" w:sz="0" w:space="0" w:color="auto"/>
              </w:divBdr>
              <w:divsChild>
                <w:div w:id="447041923">
                  <w:marLeft w:val="0"/>
                  <w:marRight w:val="0"/>
                  <w:marTop w:val="0"/>
                  <w:marBottom w:val="0"/>
                  <w:divBdr>
                    <w:top w:val="none" w:sz="0" w:space="0" w:color="auto"/>
                    <w:left w:val="none" w:sz="0" w:space="0" w:color="auto"/>
                    <w:bottom w:val="none" w:sz="0" w:space="0" w:color="auto"/>
                    <w:right w:val="none" w:sz="0" w:space="0" w:color="auto"/>
                  </w:divBdr>
                  <w:divsChild>
                    <w:div w:id="130450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486830">
      <w:bodyDiv w:val="1"/>
      <w:marLeft w:val="0"/>
      <w:marRight w:val="0"/>
      <w:marTop w:val="0"/>
      <w:marBottom w:val="0"/>
      <w:divBdr>
        <w:top w:val="none" w:sz="0" w:space="0" w:color="auto"/>
        <w:left w:val="none" w:sz="0" w:space="0" w:color="auto"/>
        <w:bottom w:val="none" w:sz="0" w:space="0" w:color="auto"/>
        <w:right w:val="none" w:sz="0" w:space="0" w:color="auto"/>
      </w:divBdr>
      <w:divsChild>
        <w:div w:id="1629046338">
          <w:marLeft w:val="0"/>
          <w:marRight w:val="0"/>
          <w:marTop w:val="0"/>
          <w:marBottom w:val="0"/>
          <w:divBdr>
            <w:top w:val="none" w:sz="0" w:space="0" w:color="auto"/>
            <w:left w:val="none" w:sz="0" w:space="0" w:color="auto"/>
            <w:bottom w:val="none" w:sz="0" w:space="0" w:color="auto"/>
            <w:right w:val="none" w:sz="0" w:space="0" w:color="auto"/>
          </w:divBdr>
          <w:divsChild>
            <w:div w:id="826744516">
              <w:marLeft w:val="0"/>
              <w:marRight w:val="0"/>
              <w:marTop w:val="0"/>
              <w:marBottom w:val="0"/>
              <w:divBdr>
                <w:top w:val="none" w:sz="0" w:space="0" w:color="auto"/>
                <w:left w:val="none" w:sz="0" w:space="0" w:color="auto"/>
                <w:bottom w:val="none" w:sz="0" w:space="0" w:color="auto"/>
                <w:right w:val="none" w:sz="0" w:space="0" w:color="auto"/>
              </w:divBdr>
              <w:divsChild>
                <w:div w:id="1073814755">
                  <w:marLeft w:val="0"/>
                  <w:marRight w:val="0"/>
                  <w:marTop w:val="0"/>
                  <w:marBottom w:val="0"/>
                  <w:divBdr>
                    <w:top w:val="none" w:sz="0" w:space="0" w:color="auto"/>
                    <w:left w:val="none" w:sz="0" w:space="0" w:color="auto"/>
                    <w:bottom w:val="none" w:sz="0" w:space="0" w:color="auto"/>
                    <w:right w:val="none" w:sz="0" w:space="0" w:color="auto"/>
                  </w:divBdr>
                  <w:divsChild>
                    <w:div w:id="192487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537406">
      <w:bodyDiv w:val="1"/>
      <w:marLeft w:val="0"/>
      <w:marRight w:val="0"/>
      <w:marTop w:val="0"/>
      <w:marBottom w:val="0"/>
      <w:divBdr>
        <w:top w:val="none" w:sz="0" w:space="0" w:color="auto"/>
        <w:left w:val="none" w:sz="0" w:space="0" w:color="auto"/>
        <w:bottom w:val="none" w:sz="0" w:space="0" w:color="auto"/>
        <w:right w:val="none" w:sz="0" w:space="0" w:color="auto"/>
      </w:divBdr>
      <w:divsChild>
        <w:div w:id="315299544">
          <w:marLeft w:val="0"/>
          <w:marRight w:val="0"/>
          <w:marTop w:val="0"/>
          <w:marBottom w:val="0"/>
          <w:divBdr>
            <w:top w:val="none" w:sz="0" w:space="0" w:color="auto"/>
            <w:left w:val="none" w:sz="0" w:space="0" w:color="auto"/>
            <w:bottom w:val="none" w:sz="0" w:space="0" w:color="auto"/>
            <w:right w:val="none" w:sz="0" w:space="0" w:color="auto"/>
          </w:divBdr>
          <w:divsChild>
            <w:div w:id="342974701">
              <w:marLeft w:val="0"/>
              <w:marRight w:val="0"/>
              <w:marTop w:val="0"/>
              <w:marBottom w:val="0"/>
              <w:divBdr>
                <w:top w:val="none" w:sz="0" w:space="0" w:color="auto"/>
                <w:left w:val="none" w:sz="0" w:space="0" w:color="auto"/>
                <w:bottom w:val="none" w:sz="0" w:space="0" w:color="auto"/>
                <w:right w:val="none" w:sz="0" w:space="0" w:color="auto"/>
              </w:divBdr>
              <w:divsChild>
                <w:div w:id="95809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oore@sbctc.edu" TargetMode="External"/><Relationship Id="rId3" Type="http://schemas.openxmlformats.org/officeDocument/2006/relationships/settings" Target="settings.xml"/><Relationship Id="rId7" Type="http://schemas.openxmlformats.org/officeDocument/2006/relationships/hyperlink" Target="https://www.sbctc.edu/about/agency/initiatives-projects/bridge-to-college.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Moore</dc:creator>
  <cp:keywords/>
  <dc:description/>
  <cp:lastModifiedBy>Bill Moore</cp:lastModifiedBy>
  <cp:revision>10</cp:revision>
  <dcterms:created xsi:type="dcterms:W3CDTF">2018-05-23T16:19:00Z</dcterms:created>
  <dcterms:modified xsi:type="dcterms:W3CDTF">2018-06-12T21:51:00Z</dcterms:modified>
</cp:coreProperties>
</file>