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77" w:rsidRDefault="00CD6D30" w:rsidP="00CD6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Achievement </w:t>
      </w:r>
      <w:r w:rsidR="00BE5477" w:rsidRPr="00CD6D30">
        <w:rPr>
          <w:rFonts w:ascii="Times New Roman" w:hAnsi="Times New Roman" w:cs="Times New Roman"/>
          <w:b/>
          <w:sz w:val="28"/>
          <w:szCs w:val="28"/>
        </w:rPr>
        <w:t xml:space="preserve">Advisory </w:t>
      </w:r>
      <w:r w:rsidRPr="00CD6D30">
        <w:rPr>
          <w:rFonts w:ascii="Times New Roman" w:hAnsi="Times New Roman" w:cs="Times New Roman"/>
          <w:b/>
          <w:sz w:val="28"/>
          <w:szCs w:val="28"/>
        </w:rPr>
        <w:t>Committee Recommendations</w:t>
      </w:r>
    </w:p>
    <w:p w:rsidR="00F20012" w:rsidRPr="005775CD" w:rsidRDefault="00F20012" w:rsidP="00CD6D3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75CD">
        <w:rPr>
          <w:rFonts w:ascii="Times New Roman" w:hAnsi="Times New Roman" w:cs="Times New Roman"/>
          <w:b/>
          <w:i/>
          <w:sz w:val="20"/>
          <w:szCs w:val="20"/>
        </w:rPr>
        <w:t>Approved by WACTC, July 21, 2017</w:t>
      </w:r>
    </w:p>
    <w:p w:rsidR="005775CD" w:rsidRPr="005775CD" w:rsidRDefault="005775CD" w:rsidP="00CD6D3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75CD">
        <w:rPr>
          <w:rFonts w:ascii="Times New Roman" w:hAnsi="Times New Roman" w:cs="Times New Roman"/>
          <w:b/>
          <w:i/>
          <w:sz w:val="20"/>
          <w:szCs w:val="20"/>
        </w:rPr>
        <w:t>Approved by State Board, September 13, 2017</w:t>
      </w:r>
    </w:p>
    <w:p w:rsidR="009811E7" w:rsidRDefault="009811E7" w:rsidP="003C48AB">
      <w:pPr>
        <w:spacing w:after="0"/>
        <w:rPr>
          <w:rFonts w:ascii="Times New Roman" w:hAnsi="Times New Roman" w:cs="Times New Roman"/>
          <w:b/>
          <w:i/>
        </w:rPr>
      </w:pPr>
    </w:p>
    <w:p w:rsidR="00CD6D30" w:rsidRPr="004E0361" w:rsidRDefault="00562CE2" w:rsidP="003C4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Recommendation 1</w:t>
      </w:r>
      <w:r w:rsidR="00E3446C">
        <w:rPr>
          <w:rFonts w:ascii="Times New Roman" w:hAnsi="Times New Roman" w:cs="Times New Roman"/>
          <w:b/>
          <w:i/>
        </w:rPr>
        <w:t xml:space="preserve"> - Principles</w:t>
      </w:r>
      <w:r>
        <w:rPr>
          <w:rFonts w:ascii="Times New Roman" w:hAnsi="Times New Roman" w:cs="Times New Roman"/>
          <w:b/>
          <w:i/>
        </w:rPr>
        <w:t xml:space="preserve">: </w:t>
      </w:r>
      <w:r w:rsidR="0077193A" w:rsidRPr="00CC30D8">
        <w:rPr>
          <w:rFonts w:ascii="Times New Roman" w:hAnsi="Times New Roman" w:cs="Times New Roman"/>
        </w:rPr>
        <w:t xml:space="preserve">Revise the principles to reflect an increased focus on degree and certificate attainment and closing the </w:t>
      </w:r>
      <w:r w:rsidR="00D87C16">
        <w:rPr>
          <w:rFonts w:ascii="Times New Roman" w:hAnsi="Times New Roman" w:cs="Times New Roman"/>
        </w:rPr>
        <w:t>achievement</w:t>
      </w:r>
      <w:r w:rsidR="0077193A" w:rsidRPr="00CC30D8">
        <w:rPr>
          <w:rFonts w:ascii="Times New Roman" w:hAnsi="Times New Roman" w:cs="Times New Roman"/>
        </w:rPr>
        <w:t xml:space="preserve"> gap</w:t>
      </w:r>
      <w:r w:rsidR="00D87C16">
        <w:rPr>
          <w:rFonts w:ascii="Times New Roman" w:hAnsi="Times New Roman" w:cs="Times New Roman"/>
        </w:rPr>
        <w:t xml:space="preserve"> for historically underrepresented students</w:t>
      </w:r>
      <w:r w:rsidR="0077193A" w:rsidRPr="00CC30D8">
        <w:rPr>
          <w:rFonts w:ascii="Times New Roman" w:hAnsi="Times New Roman" w:cs="Times New Roman"/>
        </w:rPr>
        <w:t>.</w:t>
      </w:r>
      <w:r w:rsidR="0077193A">
        <w:rPr>
          <w:rFonts w:ascii="Times New Roman" w:hAnsi="Times New Roman" w:cs="Times New Roman"/>
          <w:b/>
        </w:rPr>
        <w:t xml:space="preserve"> </w:t>
      </w:r>
    </w:p>
    <w:p w:rsidR="003C48AB" w:rsidRDefault="003C48AB" w:rsidP="00F61917">
      <w:pPr>
        <w:spacing w:after="0"/>
        <w:rPr>
          <w:rFonts w:ascii="Times New Roman" w:hAnsi="Times New Roman" w:cs="Times New Roman"/>
          <w:b/>
        </w:rPr>
      </w:pPr>
    </w:p>
    <w:p w:rsidR="003C48AB" w:rsidRPr="0077193A" w:rsidRDefault="003C48AB" w:rsidP="0077193A">
      <w:pPr>
        <w:spacing w:after="0" w:line="276" w:lineRule="auto"/>
        <w:rPr>
          <w:rFonts w:ascii="Times New Roman" w:hAnsi="Times New Roman" w:cs="Times New Roman"/>
          <w:b/>
        </w:rPr>
      </w:pPr>
      <w:r w:rsidRPr="00190654">
        <w:rPr>
          <w:rFonts w:ascii="Times New Roman" w:hAnsi="Times New Roman" w:cs="Times New Roman"/>
          <w:b/>
          <w:i/>
        </w:rPr>
        <w:t>Recommend</w:t>
      </w:r>
      <w:r w:rsidR="00CC30D8" w:rsidRPr="00190654">
        <w:rPr>
          <w:rFonts w:ascii="Times New Roman" w:hAnsi="Times New Roman" w:cs="Times New Roman"/>
          <w:b/>
          <w:i/>
        </w:rPr>
        <w:t>ation 2</w:t>
      </w:r>
      <w:r w:rsidR="00E3446C">
        <w:rPr>
          <w:rFonts w:ascii="Times New Roman" w:hAnsi="Times New Roman" w:cs="Times New Roman"/>
          <w:b/>
          <w:i/>
        </w:rPr>
        <w:t xml:space="preserve"> – Achievement metrics</w:t>
      </w:r>
      <w:r w:rsidR="00CC30D8">
        <w:rPr>
          <w:rFonts w:ascii="Times New Roman" w:hAnsi="Times New Roman" w:cs="Times New Roman"/>
          <w:b/>
        </w:rPr>
        <w:t xml:space="preserve">: </w:t>
      </w:r>
      <w:r w:rsidR="00557165">
        <w:rPr>
          <w:rFonts w:ascii="Times New Roman" w:hAnsi="Times New Roman" w:cs="Times New Roman"/>
        </w:rPr>
        <w:t>Revise</w:t>
      </w:r>
      <w:r w:rsidR="00A578B9">
        <w:rPr>
          <w:rFonts w:ascii="Times New Roman" w:hAnsi="Times New Roman" w:cs="Times New Roman"/>
        </w:rPr>
        <w:t xml:space="preserve"> </w:t>
      </w:r>
      <w:r w:rsidR="00E3446C">
        <w:rPr>
          <w:rFonts w:ascii="Times New Roman" w:hAnsi="Times New Roman" w:cs="Times New Roman"/>
        </w:rPr>
        <w:t xml:space="preserve">the </w:t>
      </w:r>
      <w:r w:rsidR="00D261A9">
        <w:rPr>
          <w:rFonts w:ascii="Times New Roman" w:hAnsi="Times New Roman" w:cs="Times New Roman"/>
        </w:rPr>
        <w:t xml:space="preserve">achievement metric </w:t>
      </w:r>
      <w:r w:rsidR="00A578B9">
        <w:rPr>
          <w:rFonts w:ascii="Times New Roman" w:hAnsi="Times New Roman" w:cs="Times New Roman"/>
        </w:rPr>
        <w:t xml:space="preserve">framework </w:t>
      </w:r>
      <w:r w:rsidR="00CC30D8">
        <w:rPr>
          <w:rFonts w:ascii="Times New Roman" w:hAnsi="Times New Roman" w:cs="Times New Roman"/>
        </w:rPr>
        <w:t xml:space="preserve">to </w:t>
      </w:r>
      <w:r w:rsidR="0034303F">
        <w:rPr>
          <w:rFonts w:ascii="Times New Roman" w:hAnsi="Times New Roman" w:cs="Times New Roman"/>
        </w:rPr>
        <w:t xml:space="preserve">emphasize success in transitioning </w:t>
      </w:r>
      <w:r w:rsidR="00E3446C">
        <w:rPr>
          <w:rFonts w:ascii="Times New Roman" w:hAnsi="Times New Roman" w:cs="Times New Roman"/>
        </w:rPr>
        <w:t>from</w:t>
      </w:r>
      <w:r w:rsidR="00CC30D8">
        <w:rPr>
          <w:rFonts w:ascii="Times New Roman" w:hAnsi="Times New Roman" w:cs="Times New Roman"/>
        </w:rPr>
        <w:t xml:space="preserve"> </w:t>
      </w:r>
      <w:r w:rsidR="00D261A9">
        <w:rPr>
          <w:rFonts w:ascii="Times New Roman" w:hAnsi="Times New Roman" w:cs="Times New Roman"/>
        </w:rPr>
        <w:t xml:space="preserve">basic skills and </w:t>
      </w:r>
      <w:r w:rsidR="00CC30D8">
        <w:rPr>
          <w:rFonts w:ascii="Times New Roman" w:hAnsi="Times New Roman" w:cs="Times New Roman"/>
        </w:rPr>
        <w:t xml:space="preserve">precollege to </w:t>
      </w:r>
      <w:r w:rsidR="00190654">
        <w:rPr>
          <w:rFonts w:ascii="Times New Roman" w:hAnsi="Times New Roman" w:cs="Times New Roman"/>
        </w:rPr>
        <w:t>college-</w:t>
      </w:r>
      <w:r w:rsidR="0034303F">
        <w:rPr>
          <w:rFonts w:ascii="Times New Roman" w:hAnsi="Times New Roman" w:cs="Times New Roman"/>
        </w:rPr>
        <w:t>level</w:t>
      </w:r>
      <w:r w:rsidR="00D261A9">
        <w:rPr>
          <w:rFonts w:ascii="Times New Roman" w:hAnsi="Times New Roman" w:cs="Times New Roman"/>
        </w:rPr>
        <w:t>, college English</w:t>
      </w:r>
      <w:r w:rsidR="00190654">
        <w:rPr>
          <w:rFonts w:ascii="Times New Roman" w:hAnsi="Times New Roman" w:cs="Times New Roman"/>
        </w:rPr>
        <w:t>/Communication</w:t>
      </w:r>
      <w:r w:rsidR="00D261A9">
        <w:rPr>
          <w:rFonts w:ascii="Times New Roman" w:hAnsi="Times New Roman" w:cs="Times New Roman"/>
        </w:rPr>
        <w:t xml:space="preserve"> attainment, and</w:t>
      </w:r>
      <w:r w:rsidR="00190654">
        <w:rPr>
          <w:rFonts w:ascii="Times New Roman" w:hAnsi="Times New Roman" w:cs="Times New Roman"/>
        </w:rPr>
        <w:t xml:space="preserve"> retention and completion for historically underrepresented students. </w:t>
      </w:r>
    </w:p>
    <w:p w:rsidR="003C48AB" w:rsidRPr="00C10912" w:rsidRDefault="00C10912" w:rsidP="00557165">
      <w:pPr>
        <w:ind w:left="27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2.A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3C48AB" w:rsidRPr="00C10912">
        <w:rPr>
          <w:rFonts w:ascii="Times New Roman" w:hAnsi="Times New Roman" w:cs="Times New Roman"/>
          <w:b/>
        </w:rPr>
        <w:t>Equity:</w:t>
      </w:r>
      <w:r w:rsidR="003C48AB" w:rsidRPr="00C10912">
        <w:rPr>
          <w:rFonts w:ascii="Times New Roman" w:hAnsi="Times New Roman" w:cs="Times New Roman"/>
        </w:rPr>
        <w:t xml:space="preserve">  low-income, basic skills, and historically underrepresented students of color</w:t>
      </w:r>
      <w:r w:rsidR="00557165">
        <w:rPr>
          <w:rFonts w:ascii="Times New Roman" w:hAnsi="Times New Roman" w:cs="Times New Roman"/>
        </w:rPr>
        <w:t xml:space="preserve"> (African American, Hispanic, Native American, Pacific Islander)</w:t>
      </w:r>
      <w:r w:rsidR="003C48AB" w:rsidRPr="00C10912">
        <w:rPr>
          <w:rFonts w:ascii="Times New Roman" w:hAnsi="Times New Roman" w:cs="Times New Roman"/>
        </w:rPr>
        <w:t xml:space="preserve"> receive an additional point at the completion of the first 15 college credit milestone and at degree or apprenticeship attainment. The extra point is duplicative if students are a member of more than one group.</w:t>
      </w:r>
    </w:p>
    <w:p w:rsidR="003C48AB" w:rsidRPr="00C10912" w:rsidRDefault="00C10912" w:rsidP="00557165">
      <w:pPr>
        <w:spacing w:after="0"/>
        <w:ind w:left="27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2.B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3C48AB" w:rsidRPr="00C10912">
        <w:rPr>
          <w:rFonts w:ascii="Times New Roman" w:hAnsi="Times New Roman" w:cs="Times New Roman"/>
          <w:b/>
        </w:rPr>
        <w:t xml:space="preserve">Basic skills: </w:t>
      </w:r>
      <w:r w:rsidR="003C48AB" w:rsidRPr="00C10912">
        <w:rPr>
          <w:rFonts w:ascii="Times New Roman" w:hAnsi="Times New Roman" w:cs="Times New Roman"/>
        </w:rPr>
        <w:t>revise basic skills points to reflect a greater emphasis on completion of critical milestone achievement and transition to college level work in this mission area.</w:t>
      </w:r>
    </w:p>
    <w:p w:rsidR="003C48AB" w:rsidRPr="00557165" w:rsidRDefault="003C48AB" w:rsidP="005571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557165">
        <w:rPr>
          <w:rFonts w:ascii="Times New Roman" w:hAnsi="Times New Roman" w:cs="Times New Roman"/>
        </w:rPr>
        <w:t>Federal level gains, completion of high school diploma or GED</w:t>
      </w:r>
    </w:p>
    <w:p w:rsidR="003C48AB" w:rsidRPr="00BE5477" w:rsidRDefault="003C48AB" w:rsidP="009811E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Transition to college level coursework in alignment with ability to benefit</w:t>
      </w:r>
      <w:r w:rsidR="00E3446C">
        <w:rPr>
          <w:rFonts w:ascii="Times New Roman" w:hAnsi="Times New Roman" w:cs="Times New Roman"/>
        </w:rPr>
        <w:t xml:space="preserve"> (first 6 college-level credits)</w:t>
      </w:r>
    </w:p>
    <w:p w:rsidR="003C48AB" w:rsidRPr="00C10912" w:rsidRDefault="00C10912" w:rsidP="00557165">
      <w:pPr>
        <w:spacing w:after="0"/>
        <w:ind w:left="27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2.C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3C48AB" w:rsidRPr="00C10912">
        <w:rPr>
          <w:rFonts w:ascii="Times New Roman" w:hAnsi="Times New Roman" w:cs="Times New Roman"/>
          <w:b/>
        </w:rPr>
        <w:t xml:space="preserve">Precollege math and English: </w:t>
      </w:r>
      <w:r w:rsidR="003C48AB" w:rsidRPr="00C10912">
        <w:rPr>
          <w:rFonts w:ascii="Times New Roman" w:hAnsi="Times New Roman" w:cs="Times New Roman"/>
        </w:rPr>
        <w:t xml:space="preserve">shift the incentive from completion of the precollege sequence to completion of the associated college gatekeeper courses of math and English. </w:t>
      </w:r>
    </w:p>
    <w:p w:rsidR="003C48AB" w:rsidRPr="00C10912" w:rsidRDefault="003C48AB" w:rsidP="009811E7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b/>
        </w:rPr>
      </w:pPr>
      <w:r w:rsidRPr="00C10912">
        <w:rPr>
          <w:rFonts w:ascii="Times New Roman" w:hAnsi="Times New Roman" w:cs="Times New Roman"/>
        </w:rPr>
        <w:t>Students beginning in precollege math and English receive a point after completing associated college level course within a year</w:t>
      </w:r>
    </w:p>
    <w:p w:rsidR="003C48AB" w:rsidRPr="00C10912" w:rsidRDefault="003C48AB" w:rsidP="009811E7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b/>
        </w:rPr>
      </w:pPr>
      <w:r w:rsidRPr="00C10912">
        <w:rPr>
          <w:rFonts w:ascii="Times New Roman" w:hAnsi="Times New Roman" w:cs="Times New Roman"/>
        </w:rPr>
        <w:t>A new point for college level English/Communication is added for all students</w:t>
      </w:r>
    </w:p>
    <w:p w:rsidR="00190654" w:rsidRDefault="00190654">
      <w:pPr>
        <w:rPr>
          <w:rFonts w:ascii="Times New Roman" w:hAnsi="Times New Roman" w:cs="Times New Roman"/>
        </w:rPr>
      </w:pPr>
      <w:r w:rsidRPr="00E3446C">
        <w:rPr>
          <w:rFonts w:ascii="Times New Roman" w:hAnsi="Times New Roman" w:cs="Times New Roman"/>
          <w:b/>
          <w:i/>
        </w:rPr>
        <w:t>Recommendation 3</w:t>
      </w:r>
      <w:r w:rsidR="00E3446C">
        <w:rPr>
          <w:rFonts w:ascii="Times New Roman" w:hAnsi="Times New Roman" w:cs="Times New Roman"/>
          <w:b/>
          <w:i/>
        </w:rPr>
        <w:t xml:space="preserve"> - Funding</w:t>
      </w:r>
      <w:r w:rsidRPr="00E3446C">
        <w:rPr>
          <w:rFonts w:ascii="Times New Roman" w:hAnsi="Times New Roman" w:cs="Times New Roman"/>
          <w:b/>
          <w:i/>
        </w:rPr>
        <w:t xml:space="preserve">: </w:t>
      </w:r>
    </w:p>
    <w:p w:rsidR="0056716C" w:rsidRPr="00557165" w:rsidRDefault="00557165" w:rsidP="00557165">
      <w:pPr>
        <w:ind w:left="27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3.A</w:t>
      </w:r>
      <w:proofErr w:type="gramEnd"/>
      <w:r>
        <w:rPr>
          <w:rFonts w:ascii="Times New Roman" w:hAnsi="Times New Roman" w:cs="Times New Roman"/>
          <w:b/>
        </w:rPr>
        <w:t>. K</w:t>
      </w:r>
      <w:r w:rsidR="00C10912" w:rsidRPr="00557165">
        <w:rPr>
          <w:rFonts w:ascii="Times New Roman" w:hAnsi="Times New Roman" w:cs="Times New Roman"/>
          <w:b/>
        </w:rPr>
        <w:t xml:space="preserve">eep the amount of funding for SAI at 5% of the total allocation. </w:t>
      </w:r>
    </w:p>
    <w:p w:rsidR="00C10912" w:rsidRPr="00557165" w:rsidRDefault="00C10912" w:rsidP="00557165">
      <w:pPr>
        <w:ind w:left="270"/>
        <w:rPr>
          <w:rFonts w:ascii="Times New Roman" w:hAnsi="Times New Roman" w:cs="Times New Roman"/>
          <w:b/>
        </w:rPr>
      </w:pPr>
      <w:proofErr w:type="gramStart"/>
      <w:r w:rsidRPr="00557165">
        <w:rPr>
          <w:rFonts w:ascii="Times New Roman" w:hAnsi="Times New Roman" w:cs="Times New Roman"/>
          <w:b/>
        </w:rPr>
        <w:t>3</w:t>
      </w:r>
      <w:r w:rsidR="00557165">
        <w:rPr>
          <w:rFonts w:ascii="Times New Roman" w:hAnsi="Times New Roman" w:cs="Times New Roman"/>
          <w:b/>
        </w:rPr>
        <w:t>.B</w:t>
      </w:r>
      <w:proofErr w:type="gramEnd"/>
      <w:r w:rsidR="00557165">
        <w:rPr>
          <w:rFonts w:ascii="Times New Roman" w:hAnsi="Times New Roman" w:cs="Times New Roman"/>
          <w:b/>
        </w:rPr>
        <w:t>. Revise the</w:t>
      </w:r>
      <w:r w:rsidRPr="00557165">
        <w:rPr>
          <w:rFonts w:ascii="Times New Roman" w:hAnsi="Times New Roman" w:cs="Times New Roman"/>
          <w:b/>
        </w:rPr>
        <w:t xml:space="preserve"> current funding metric distribution within the 5% as follows: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3C32" w:rsidTr="009811E7">
        <w:tc>
          <w:tcPr>
            <w:tcW w:w="3116" w:type="dxa"/>
          </w:tcPr>
          <w:p w:rsidR="00F23C32" w:rsidRDefault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Metric</w:t>
            </w:r>
          </w:p>
        </w:tc>
        <w:tc>
          <w:tcPr>
            <w:tcW w:w="3117" w:type="dxa"/>
          </w:tcPr>
          <w:p w:rsidR="00F23C32" w:rsidRDefault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Allocation Percent</w:t>
            </w:r>
          </w:p>
        </w:tc>
        <w:tc>
          <w:tcPr>
            <w:tcW w:w="3117" w:type="dxa"/>
          </w:tcPr>
          <w:p w:rsidR="00F23C32" w:rsidRDefault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Allocation Percent</w:t>
            </w:r>
          </w:p>
        </w:tc>
      </w:tr>
      <w:tr w:rsidR="00F23C32" w:rsidTr="009811E7">
        <w:tc>
          <w:tcPr>
            <w:tcW w:w="3116" w:type="dxa"/>
          </w:tcPr>
          <w:p w:rsidR="00F23C32" w:rsidRDefault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Points (less completions)</w:t>
            </w:r>
          </w:p>
        </w:tc>
        <w:tc>
          <w:tcPr>
            <w:tcW w:w="3117" w:type="dxa"/>
          </w:tcPr>
          <w:p w:rsidR="00F23C32" w:rsidRDefault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 (2.25% of total allocation)</w:t>
            </w:r>
          </w:p>
        </w:tc>
        <w:tc>
          <w:tcPr>
            <w:tcW w:w="3117" w:type="dxa"/>
          </w:tcPr>
          <w:p w:rsidR="00F23C32" w:rsidRDefault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(2.0% of total allocation)</w:t>
            </w:r>
          </w:p>
        </w:tc>
      </w:tr>
      <w:tr w:rsidR="00F23C32" w:rsidTr="009811E7">
        <w:tc>
          <w:tcPr>
            <w:tcW w:w="3116" w:type="dxa"/>
          </w:tcPr>
          <w:p w:rsidR="00F23C32" w:rsidRDefault="00F23C32" w:rsidP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 Per Student</w:t>
            </w:r>
          </w:p>
        </w:tc>
        <w:tc>
          <w:tcPr>
            <w:tcW w:w="3117" w:type="dxa"/>
          </w:tcPr>
          <w:p w:rsidR="00F23C32" w:rsidRDefault="00F23C32" w:rsidP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 (2.25% of total allocation)</w:t>
            </w:r>
          </w:p>
        </w:tc>
        <w:tc>
          <w:tcPr>
            <w:tcW w:w="3117" w:type="dxa"/>
          </w:tcPr>
          <w:p w:rsidR="00F23C32" w:rsidRDefault="00F23C32" w:rsidP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(2.0% of total allocation)</w:t>
            </w:r>
          </w:p>
        </w:tc>
      </w:tr>
      <w:tr w:rsidR="00F23C32" w:rsidTr="009811E7">
        <w:tc>
          <w:tcPr>
            <w:tcW w:w="3116" w:type="dxa"/>
          </w:tcPr>
          <w:p w:rsidR="00F23C32" w:rsidRDefault="00F23C32" w:rsidP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Completions</w:t>
            </w:r>
          </w:p>
        </w:tc>
        <w:tc>
          <w:tcPr>
            <w:tcW w:w="3117" w:type="dxa"/>
          </w:tcPr>
          <w:p w:rsidR="00F23C32" w:rsidRDefault="00F23C32" w:rsidP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(0.5% of total allocation)</w:t>
            </w:r>
          </w:p>
        </w:tc>
        <w:tc>
          <w:tcPr>
            <w:tcW w:w="3117" w:type="dxa"/>
          </w:tcPr>
          <w:p w:rsidR="00F23C32" w:rsidRDefault="00F23C32" w:rsidP="00F2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(1% of total allocation)</w:t>
            </w:r>
          </w:p>
        </w:tc>
      </w:tr>
    </w:tbl>
    <w:p w:rsidR="00A578B9" w:rsidRDefault="00A578B9" w:rsidP="009811E7">
      <w:pPr>
        <w:spacing w:after="0"/>
        <w:ind w:left="720"/>
        <w:rPr>
          <w:rFonts w:ascii="Times New Roman" w:hAnsi="Times New Roman" w:cs="Times New Roman"/>
        </w:rPr>
      </w:pPr>
    </w:p>
    <w:p w:rsidR="00F23C32" w:rsidRPr="00557165" w:rsidRDefault="00F23C32" w:rsidP="00557165">
      <w:pPr>
        <w:ind w:left="270"/>
        <w:rPr>
          <w:rFonts w:ascii="Times New Roman" w:hAnsi="Times New Roman" w:cs="Times New Roman"/>
          <w:b/>
        </w:rPr>
      </w:pPr>
      <w:proofErr w:type="gramStart"/>
      <w:r w:rsidRPr="00557165">
        <w:rPr>
          <w:rFonts w:ascii="Times New Roman" w:hAnsi="Times New Roman" w:cs="Times New Roman"/>
          <w:b/>
        </w:rPr>
        <w:t>3.C</w:t>
      </w:r>
      <w:proofErr w:type="gramEnd"/>
      <w:r w:rsidR="00424342">
        <w:rPr>
          <w:rFonts w:ascii="Times New Roman" w:hAnsi="Times New Roman" w:cs="Times New Roman"/>
          <w:b/>
        </w:rPr>
        <w:t>. Only s</w:t>
      </w:r>
      <w:r w:rsidRPr="00557165">
        <w:rPr>
          <w:rFonts w:ascii="Times New Roman" w:hAnsi="Times New Roman" w:cs="Times New Roman"/>
          <w:b/>
        </w:rPr>
        <w:t xml:space="preserve">tate-funded students </w:t>
      </w:r>
      <w:r w:rsidR="00424342">
        <w:rPr>
          <w:rFonts w:ascii="Times New Roman" w:hAnsi="Times New Roman" w:cs="Times New Roman"/>
          <w:b/>
        </w:rPr>
        <w:t xml:space="preserve">are </w:t>
      </w:r>
      <w:r w:rsidRPr="00557165">
        <w:rPr>
          <w:rFonts w:ascii="Times New Roman" w:hAnsi="Times New Roman" w:cs="Times New Roman"/>
          <w:b/>
        </w:rPr>
        <w:t>counted in SAI.</w:t>
      </w:r>
    </w:p>
    <w:p w:rsidR="00AD163A" w:rsidRDefault="00190654" w:rsidP="008B3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Recommendation 4</w:t>
      </w:r>
      <w:r w:rsidR="00042E5E">
        <w:rPr>
          <w:rFonts w:ascii="Times New Roman" w:hAnsi="Times New Roman" w:cs="Times New Roman"/>
          <w:b/>
          <w:i/>
        </w:rPr>
        <w:t xml:space="preserve"> - Implementation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 xml:space="preserve">The </w:t>
      </w:r>
      <w:r w:rsidR="00AD163A">
        <w:rPr>
          <w:rFonts w:ascii="Times New Roman" w:hAnsi="Times New Roman" w:cs="Times New Roman"/>
        </w:rPr>
        <w:t>2017-18 academic year be used as both an implementation period and the first data year for the new criteria</w:t>
      </w:r>
      <w:r w:rsidR="00557165">
        <w:rPr>
          <w:rFonts w:ascii="Times New Roman" w:hAnsi="Times New Roman" w:cs="Times New Roman"/>
        </w:rPr>
        <w:t xml:space="preserve"> for allocation model in FY20</w:t>
      </w:r>
      <w:r w:rsidR="00AD163A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 technical workgroup </w:t>
      </w:r>
      <w:r w:rsidR="00E3446C">
        <w:rPr>
          <w:rFonts w:ascii="Times New Roman" w:hAnsi="Times New Roman" w:cs="Times New Roman"/>
        </w:rPr>
        <w:t xml:space="preserve">with system-level representation </w:t>
      </w:r>
      <w:r w:rsidR="00AD163A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 xml:space="preserve">be established to assist the state board </w:t>
      </w:r>
      <w:r w:rsidR="00AD163A">
        <w:rPr>
          <w:rFonts w:ascii="Times New Roman" w:hAnsi="Times New Roman" w:cs="Times New Roman"/>
        </w:rPr>
        <w:t xml:space="preserve">throughout the </w:t>
      </w:r>
      <w:r w:rsidR="00557165">
        <w:rPr>
          <w:rFonts w:ascii="Times New Roman" w:hAnsi="Times New Roman" w:cs="Times New Roman"/>
        </w:rPr>
        <w:t>implementation period.</w:t>
      </w:r>
      <w:r w:rsidR="00CF53F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3870"/>
      </w:tblGrid>
      <w:tr w:rsidR="00AD163A" w:rsidTr="009811E7">
        <w:tc>
          <w:tcPr>
            <w:tcW w:w="3775" w:type="dxa"/>
          </w:tcPr>
          <w:p w:rsidR="00AD163A" w:rsidRPr="00AD163A" w:rsidRDefault="00AD163A" w:rsidP="008B30DD">
            <w:pPr>
              <w:rPr>
                <w:rFonts w:ascii="Times New Roman" w:hAnsi="Times New Roman" w:cs="Times New Roman"/>
                <w:b/>
              </w:rPr>
            </w:pPr>
            <w:r w:rsidRPr="00AD163A">
              <w:rPr>
                <w:rFonts w:ascii="Times New Roman" w:hAnsi="Times New Roman" w:cs="Times New Roman"/>
                <w:b/>
              </w:rPr>
              <w:t>Data Year for SAI</w:t>
            </w:r>
          </w:p>
        </w:tc>
        <w:tc>
          <w:tcPr>
            <w:tcW w:w="3870" w:type="dxa"/>
          </w:tcPr>
          <w:p w:rsidR="00AD163A" w:rsidRPr="00AD163A" w:rsidRDefault="00AD163A" w:rsidP="008B30DD">
            <w:pPr>
              <w:rPr>
                <w:rFonts w:ascii="Times New Roman" w:hAnsi="Times New Roman" w:cs="Times New Roman"/>
                <w:b/>
              </w:rPr>
            </w:pPr>
            <w:r w:rsidRPr="00AD163A">
              <w:rPr>
                <w:rFonts w:ascii="Times New Roman" w:hAnsi="Times New Roman" w:cs="Times New Roman"/>
                <w:b/>
              </w:rPr>
              <w:t>Allocation model year</w:t>
            </w:r>
          </w:p>
        </w:tc>
      </w:tr>
      <w:tr w:rsidR="00AD163A" w:rsidTr="009811E7">
        <w:tc>
          <w:tcPr>
            <w:tcW w:w="3775" w:type="dxa"/>
          </w:tcPr>
          <w:p w:rsidR="00AD163A" w:rsidRDefault="00AD163A" w:rsidP="008B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3870" w:type="dxa"/>
          </w:tcPr>
          <w:p w:rsidR="00AD163A" w:rsidRDefault="00AD163A" w:rsidP="008B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 (current)</w:t>
            </w:r>
          </w:p>
        </w:tc>
      </w:tr>
      <w:tr w:rsidR="00AD163A" w:rsidTr="009811E7">
        <w:tc>
          <w:tcPr>
            <w:tcW w:w="3775" w:type="dxa"/>
          </w:tcPr>
          <w:p w:rsidR="00AD163A" w:rsidRDefault="00AD163A" w:rsidP="008B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3870" w:type="dxa"/>
          </w:tcPr>
          <w:p w:rsidR="00AD163A" w:rsidRDefault="00AD163A" w:rsidP="008B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</w:tr>
      <w:tr w:rsidR="00AD163A" w:rsidTr="009811E7">
        <w:tc>
          <w:tcPr>
            <w:tcW w:w="3775" w:type="dxa"/>
          </w:tcPr>
          <w:p w:rsidR="00AD163A" w:rsidRPr="00424342" w:rsidRDefault="00AD163A" w:rsidP="008B30DD">
            <w:pPr>
              <w:rPr>
                <w:rFonts w:ascii="Times New Roman" w:hAnsi="Times New Roman" w:cs="Times New Roman"/>
              </w:rPr>
            </w:pPr>
            <w:r w:rsidRPr="00424342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3870" w:type="dxa"/>
          </w:tcPr>
          <w:p w:rsidR="00AD163A" w:rsidRPr="00424342" w:rsidRDefault="00AD163A" w:rsidP="008B30DD">
            <w:pPr>
              <w:rPr>
                <w:rFonts w:ascii="Times New Roman" w:hAnsi="Times New Roman" w:cs="Times New Roman"/>
              </w:rPr>
            </w:pPr>
            <w:r w:rsidRPr="00424342">
              <w:rPr>
                <w:rFonts w:ascii="Times New Roman" w:hAnsi="Times New Roman" w:cs="Times New Roman"/>
              </w:rPr>
              <w:t>2018-19</w:t>
            </w:r>
          </w:p>
        </w:tc>
      </w:tr>
      <w:tr w:rsidR="00AD163A" w:rsidTr="009811E7">
        <w:tc>
          <w:tcPr>
            <w:tcW w:w="3775" w:type="dxa"/>
          </w:tcPr>
          <w:p w:rsidR="00AD163A" w:rsidRPr="00424342" w:rsidRDefault="00AD163A" w:rsidP="008B30DD">
            <w:pPr>
              <w:rPr>
                <w:rFonts w:ascii="Times New Roman" w:hAnsi="Times New Roman" w:cs="Times New Roman"/>
                <w:b/>
              </w:rPr>
            </w:pPr>
            <w:r w:rsidRPr="00424342">
              <w:rPr>
                <w:rFonts w:ascii="Times New Roman" w:hAnsi="Times New Roman" w:cs="Times New Roman"/>
                <w:b/>
              </w:rPr>
              <w:t>2017-18</w:t>
            </w:r>
          </w:p>
        </w:tc>
        <w:tc>
          <w:tcPr>
            <w:tcW w:w="3870" w:type="dxa"/>
          </w:tcPr>
          <w:p w:rsidR="00AD163A" w:rsidRPr="00424342" w:rsidRDefault="00AD163A" w:rsidP="008B30DD">
            <w:pPr>
              <w:rPr>
                <w:rFonts w:ascii="Times New Roman" w:hAnsi="Times New Roman" w:cs="Times New Roman"/>
                <w:b/>
              </w:rPr>
            </w:pPr>
            <w:r w:rsidRPr="00424342">
              <w:rPr>
                <w:rFonts w:ascii="Times New Roman" w:hAnsi="Times New Roman" w:cs="Times New Roman"/>
                <w:b/>
              </w:rPr>
              <w:t>2019-20</w:t>
            </w:r>
          </w:p>
        </w:tc>
      </w:tr>
    </w:tbl>
    <w:p w:rsidR="00F61917" w:rsidRPr="00BE5477" w:rsidRDefault="00F61917" w:rsidP="005775C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61917" w:rsidRPr="00BE5477" w:rsidSect="0037225B">
      <w:head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28" w:rsidRDefault="00B60928" w:rsidP="00A74D4F">
      <w:pPr>
        <w:spacing w:after="0" w:line="240" w:lineRule="auto"/>
      </w:pPr>
      <w:r>
        <w:separator/>
      </w:r>
    </w:p>
  </w:endnote>
  <w:endnote w:type="continuationSeparator" w:id="0">
    <w:p w:rsidR="00B60928" w:rsidRDefault="00B60928" w:rsidP="00A7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28" w:rsidRDefault="00B60928" w:rsidP="00A74D4F">
      <w:pPr>
        <w:spacing w:after="0" w:line="240" w:lineRule="auto"/>
      </w:pPr>
      <w:r>
        <w:separator/>
      </w:r>
    </w:p>
  </w:footnote>
  <w:footnote w:type="continuationSeparator" w:id="0">
    <w:p w:rsidR="00B60928" w:rsidRDefault="00B60928" w:rsidP="00A7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97" w:rsidRDefault="00E83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771"/>
    <w:multiLevelType w:val="hybridMultilevel"/>
    <w:tmpl w:val="CD641F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B4F9F"/>
    <w:multiLevelType w:val="hybridMultilevel"/>
    <w:tmpl w:val="C1AC6048"/>
    <w:lvl w:ilvl="0" w:tplc="D206B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030D"/>
    <w:multiLevelType w:val="multilevel"/>
    <w:tmpl w:val="702CD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C69"/>
    <w:multiLevelType w:val="hybridMultilevel"/>
    <w:tmpl w:val="F4DE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623B"/>
    <w:multiLevelType w:val="hybridMultilevel"/>
    <w:tmpl w:val="A70C2680"/>
    <w:lvl w:ilvl="0" w:tplc="D206B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81D"/>
    <w:multiLevelType w:val="hybridMultilevel"/>
    <w:tmpl w:val="75DE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258C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30DC"/>
    <w:multiLevelType w:val="hybridMultilevel"/>
    <w:tmpl w:val="642A35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C84226"/>
    <w:multiLevelType w:val="hybridMultilevel"/>
    <w:tmpl w:val="BBEC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3CE"/>
    <w:multiLevelType w:val="hybridMultilevel"/>
    <w:tmpl w:val="7F2EAB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A20595"/>
    <w:multiLevelType w:val="hybridMultilevel"/>
    <w:tmpl w:val="CC78A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32304"/>
    <w:multiLevelType w:val="hybridMultilevel"/>
    <w:tmpl w:val="69D8D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32FB4"/>
    <w:multiLevelType w:val="hybridMultilevel"/>
    <w:tmpl w:val="3E9E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1FBA"/>
    <w:multiLevelType w:val="hybridMultilevel"/>
    <w:tmpl w:val="6E7E6CAC"/>
    <w:lvl w:ilvl="0" w:tplc="1D48C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42E8"/>
    <w:multiLevelType w:val="hybridMultilevel"/>
    <w:tmpl w:val="24B0E326"/>
    <w:lvl w:ilvl="0" w:tplc="D206B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E46BD"/>
    <w:multiLevelType w:val="hybridMultilevel"/>
    <w:tmpl w:val="30E88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F6A0C"/>
    <w:multiLevelType w:val="hybridMultilevel"/>
    <w:tmpl w:val="EE3CF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8EBC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D3238"/>
    <w:multiLevelType w:val="hybridMultilevel"/>
    <w:tmpl w:val="9EC2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EA24C9"/>
    <w:multiLevelType w:val="hybridMultilevel"/>
    <w:tmpl w:val="B0D4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A7CD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13"/>
  </w:num>
  <w:num w:numId="9">
    <w:abstractNumId w:val="16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4F"/>
    <w:rsid w:val="00016E7F"/>
    <w:rsid w:val="00036C41"/>
    <w:rsid w:val="00042E5E"/>
    <w:rsid w:val="00057815"/>
    <w:rsid w:val="000637F3"/>
    <w:rsid w:val="000B4EA4"/>
    <w:rsid w:val="000B6FCB"/>
    <w:rsid w:val="000C4495"/>
    <w:rsid w:val="00101371"/>
    <w:rsid w:val="001048E8"/>
    <w:rsid w:val="00120A90"/>
    <w:rsid w:val="00141F7A"/>
    <w:rsid w:val="0015560A"/>
    <w:rsid w:val="00182CD0"/>
    <w:rsid w:val="00190654"/>
    <w:rsid w:val="001A6594"/>
    <w:rsid w:val="001C5EAE"/>
    <w:rsid w:val="001D023B"/>
    <w:rsid w:val="001D2092"/>
    <w:rsid w:val="00215236"/>
    <w:rsid w:val="00224A05"/>
    <w:rsid w:val="0027094B"/>
    <w:rsid w:val="00295B38"/>
    <w:rsid w:val="002F04E0"/>
    <w:rsid w:val="00323698"/>
    <w:rsid w:val="0034303F"/>
    <w:rsid w:val="00354776"/>
    <w:rsid w:val="00367D0E"/>
    <w:rsid w:val="0037225B"/>
    <w:rsid w:val="00394C24"/>
    <w:rsid w:val="003C48AB"/>
    <w:rsid w:val="00424342"/>
    <w:rsid w:val="00453E56"/>
    <w:rsid w:val="0045585F"/>
    <w:rsid w:val="00492675"/>
    <w:rsid w:val="004954C7"/>
    <w:rsid w:val="004E0361"/>
    <w:rsid w:val="00501AD5"/>
    <w:rsid w:val="00507C36"/>
    <w:rsid w:val="00511D0C"/>
    <w:rsid w:val="00545418"/>
    <w:rsid w:val="00557165"/>
    <w:rsid w:val="00562CE2"/>
    <w:rsid w:val="0056716C"/>
    <w:rsid w:val="005775CD"/>
    <w:rsid w:val="00586E43"/>
    <w:rsid w:val="00594223"/>
    <w:rsid w:val="005A5EC5"/>
    <w:rsid w:val="005E0324"/>
    <w:rsid w:val="00645130"/>
    <w:rsid w:val="00661B51"/>
    <w:rsid w:val="006B511B"/>
    <w:rsid w:val="006E169B"/>
    <w:rsid w:val="006E2087"/>
    <w:rsid w:val="006E5B57"/>
    <w:rsid w:val="006F4B3E"/>
    <w:rsid w:val="006F63EE"/>
    <w:rsid w:val="0077193A"/>
    <w:rsid w:val="007B4788"/>
    <w:rsid w:val="00802B65"/>
    <w:rsid w:val="0080404C"/>
    <w:rsid w:val="00806B12"/>
    <w:rsid w:val="00847196"/>
    <w:rsid w:val="0089022F"/>
    <w:rsid w:val="00891D81"/>
    <w:rsid w:val="0089653F"/>
    <w:rsid w:val="008B30DD"/>
    <w:rsid w:val="008B58B7"/>
    <w:rsid w:val="008E3B4D"/>
    <w:rsid w:val="00927226"/>
    <w:rsid w:val="00941BDC"/>
    <w:rsid w:val="00951215"/>
    <w:rsid w:val="009811E7"/>
    <w:rsid w:val="00A1404D"/>
    <w:rsid w:val="00A26006"/>
    <w:rsid w:val="00A578B9"/>
    <w:rsid w:val="00A6461F"/>
    <w:rsid w:val="00A74D4F"/>
    <w:rsid w:val="00AB17A5"/>
    <w:rsid w:val="00AB1E5C"/>
    <w:rsid w:val="00AC18D4"/>
    <w:rsid w:val="00AD163A"/>
    <w:rsid w:val="00AE294A"/>
    <w:rsid w:val="00B53042"/>
    <w:rsid w:val="00B60928"/>
    <w:rsid w:val="00BB6A27"/>
    <w:rsid w:val="00BB7CBD"/>
    <w:rsid w:val="00BE5477"/>
    <w:rsid w:val="00C0369F"/>
    <w:rsid w:val="00C10912"/>
    <w:rsid w:val="00C13ED3"/>
    <w:rsid w:val="00C20E0E"/>
    <w:rsid w:val="00C30706"/>
    <w:rsid w:val="00C816A5"/>
    <w:rsid w:val="00CC30D8"/>
    <w:rsid w:val="00CD6D30"/>
    <w:rsid w:val="00CD7E68"/>
    <w:rsid w:val="00CF53FE"/>
    <w:rsid w:val="00CF630E"/>
    <w:rsid w:val="00D018EC"/>
    <w:rsid w:val="00D261A9"/>
    <w:rsid w:val="00D51F1A"/>
    <w:rsid w:val="00D7413D"/>
    <w:rsid w:val="00D87C16"/>
    <w:rsid w:val="00DC356D"/>
    <w:rsid w:val="00DD0C20"/>
    <w:rsid w:val="00DD234D"/>
    <w:rsid w:val="00E3446C"/>
    <w:rsid w:val="00E435EA"/>
    <w:rsid w:val="00E509A3"/>
    <w:rsid w:val="00E57C8B"/>
    <w:rsid w:val="00E80A48"/>
    <w:rsid w:val="00E83A97"/>
    <w:rsid w:val="00E8734B"/>
    <w:rsid w:val="00EA2B73"/>
    <w:rsid w:val="00EC4904"/>
    <w:rsid w:val="00EF5FF6"/>
    <w:rsid w:val="00F20012"/>
    <w:rsid w:val="00F23C32"/>
    <w:rsid w:val="00F61917"/>
    <w:rsid w:val="00F94894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0737429-0363-4818-AE17-455D7E98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4F"/>
  </w:style>
  <w:style w:type="paragraph" w:styleId="Footer">
    <w:name w:val="footer"/>
    <w:basedOn w:val="Normal"/>
    <w:link w:val="FooterChar"/>
    <w:uiPriority w:val="99"/>
    <w:unhideWhenUsed/>
    <w:rsid w:val="00A7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4F"/>
  </w:style>
  <w:style w:type="paragraph" w:styleId="ListParagraph">
    <w:name w:val="List Paragraph"/>
    <w:basedOn w:val="Normal"/>
    <w:uiPriority w:val="34"/>
    <w:qFormat/>
    <w:rsid w:val="00DC3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44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4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8B9D-D9D4-4E63-B5FF-51E4EC81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Kaikkonen</dc:creator>
  <cp:lastModifiedBy>Darby Kaikkonen</cp:lastModifiedBy>
  <cp:revision>2</cp:revision>
  <cp:lastPrinted>2017-05-31T20:13:00Z</cp:lastPrinted>
  <dcterms:created xsi:type="dcterms:W3CDTF">2017-09-27T22:49:00Z</dcterms:created>
  <dcterms:modified xsi:type="dcterms:W3CDTF">2017-09-27T22:49:00Z</dcterms:modified>
</cp:coreProperties>
</file>