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6C" w:rsidRDefault="005A0633" w:rsidP="000C21EA">
      <w:pPr>
        <w:tabs>
          <w:tab w:val="left" w:pos="11790"/>
        </w:tabs>
        <w:rPr>
          <w:b/>
          <w:sz w:val="28"/>
          <w:szCs w:val="28"/>
        </w:rPr>
      </w:pPr>
      <w:r>
        <w:rPr>
          <w:b/>
          <w:sz w:val="28"/>
          <w:szCs w:val="28"/>
        </w:rPr>
        <w:t xml:space="preserve">WACTC Strategic Enrollment Taskforce </w:t>
      </w:r>
      <w:r w:rsidRPr="00C82586">
        <w:rPr>
          <w:b/>
          <w:color w:val="FF0000"/>
          <w:sz w:val="28"/>
          <w:szCs w:val="28"/>
        </w:rPr>
        <w:t xml:space="preserve">Draft </w:t>
      </w:r>
      <w:r>
        <w:rPr>
          <w:b/>
          <w:sz w:val="28"/>
          <w:szCs w:val="28"/>
        </w:rPr>
        <w:t>Workplan, 2017-18</w:t>
      </w:r>
    </w:p>
    <w:p w:rsidR="00C67F59" w:rsidRPr="00C67F59" w:rsidRDefault="00C67F59" w:rsidP="000C21EA">
      <w:pPr>
        <w:rPr>
          <w:b/>
          <w:sz w:val="32"/>
          <w:szCs w:val="32"/>
        </w:rPr>
      </w:pPr>
      <w:r w:rsidRPr="00C67F59">
        <w:rPr>
          <w:b/>
          <w:sz w:val="32"/>
          <w:szCs w:val="32"/>
        </w:rPr>
        <w:t>Focus Areas and Objectives</w:t>
      </w:r>
      <w:bookmarkStart w:id="0" w:name="_GoBack"/>
      <w:bookmarkEnd w:id="0"/>
    </w:p>
    <w:tbl>
      <w:tblPr>
        <w:tblStyle w:val="a"/>
        <w:tblW w:w="142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00"/>
        <w:gridCol w:w="2970"/>
        <w:gridCol w:w="4320"/>
        <w:gridCol w:w="3330"/>
      </w:tblGrid>
      <w:tr w:rsidR="009D278E" w:rsidRPr="00C67F59" w:rsidTr="00C72D8C">
        <w:trPr>
          <w:cantSplit/>
          <w:tblHeader/>
        </w:trPr>
        <w:tc>
          <w:tcPr>
            <w:tcW w:w="1800" w:type="dxa"/>
          </w:tcPr>
          <w:p w:rsidR="009D278E" w:rsidRPr="00C67F59" w:rsidRDefault="009D278E" w:rsidP="00064C77">
            <w:pPr>
              <w:rPr>
                <w:b/>
                <w:sz w:val="20"/>
                <w:szCs w:val="20"/>
              </w:rPr>
            </w:pPr>
            <w:r w:rsidRPr="00C67F59">
              <w:rPr>
                <w:b/>
                <w:sz w:val="20"/>
                <w:szCs w:val="20"/>
              </w:rPr>
              <w:t>Focus Area</w:t>
            </w:r>
          </w:p>
        </w:tc>
        <w:tc>
          <w:tcPr>
            <w:tcW w:w="1800" w:type="dxa"/>
            <w:shd w:val="clear" w:color="auto" w:fill="DBE5F1" w:themeFill="accent1" w:themeFillTint="33"/>
          </w:tcPr>
          <w:p w:rsidR="009D278E" w:rsidRPr="00C67F59" w:rsidRDefault="009D278E" w:rsidP="00064C77">
            <w:pPr>
              <w:rPr>
                <w:b/>
                <w:sz w:val="20"/>
                <w:szCs w:val="20"/>
              </w:rPr>
            </w:pPr>
            <w:r w:rsidRPr="00C67F59">
              <w:rPr>
                <w:b/>
                <w:sz w:val="20"/>
                <w:szCs w:val="20"/>
              </w:rPr>
              <w:t xml:space="preserve"> Objective(s)</w:t>
            </w:r>
          </w:p>
        </w:tc>
        <w:tc>
          <w:tcPr>
            <w:tcW w:w="2970" w:type="dxa"/>
            <w:shd w:val="clear" w:color="auto" w:fill="EEECE1" w:themeFill="background2"/>
          </w:tcPr>
          <w:p w:rsidR="009D278E" w:rsidRPr="00C67F59" w:rsidRDefault="009D278E" w:rsidP="00064C77">
            <w:pPr>
              <w:rPr>
                <w:b/>
                <w:sz w:val="20"/>
                <w:szCs w:val="20"/>
              </w:rPr>
            </w:pPr>
            <w:r>
              <w:rPr>
                <w:b/>
                <w:sz w:val="20"/>
                <w:szCs w:val="20"/>
              </w:rPr>
              <w:t>Current Data</w:t>
            </w:r>
          </w:p>
        </w:tc>
        <w:tc>
          <w:tcPr>
            <w:tcW w:w="4320" w:type="dxa"/>
            <w:shd w:val="clear" w:color="auto" w:fill="FDE9D9" w:themeFill="accent6" w:themeFillTint="33"/>
          </w:tcPr>
          <w:p w:rsidR="009D278E" w:rsidRPr="00C921DD" w:rsidRDefault="009D278E" w:rsidP="00064C77">
            <w:pPr>
              <w:rPr>
                <w:b/>
              </w:rPr>
            </w:pPr>
            <w:r w:rsidRPr="00C921DD">
              <w:rPr>
                <w:b/>
              </w:rPr>
              <w:t>Strategies</w:t>
            </w:r>
          </w:p>
        </w:tc>
        <w:tc>
          <w:tcPr>
            <w:tcW w:w="3330" w:type="dxa"/>
            <w:shd w:val="clear" w:color="auto" w:fill="FDE9D9" w:themeFill="accent6" w:themeFillTint="33"/>
          </w:tcPr>
          <w:p w:rsidR="009D278E" w:rsidRPr="00C921DD" w:rsidRDefault="009D278E" w:rsidP="00064C77">
            <w:pPr>
              <w:rPr>
                <w:b/>
              </w:rPr>
            </w:pPr>
            <w:r>
              <w:rPr>
                <w:b/>
              </w:rPr>
              <w:t>Responsible Group</w:t>
            </w:r>
          </w:p>
        </w:tc>
      </w:tr>
      <w:tr w:rsidR="009D278E" w:rsidRPr="00066928" w:rsidTr="00C72D8C">
        <w:trPr>
          <w:trHeight w:val="3095"/>
        </w:trPr>
        <w:tc>
          <w:tcPr>
            <w:tcW w:w="1800" w:type="dxa"/>
            <w:tcBorders>
              <w:bottom w:val="single" w:sz="4" w:space="0" w:color="auto"/>
            </w:tcBorders>
          </w:tcPr>
          <w:p w:rsidR="009D278E" w:rsidRPr="00066928" w:rsidRDefault="009D278E" w:rsidP="00064C77">
            <w:pPr>
              <w:rPr>
                <w:b/>
                <w:color w:val="auto"/>
                <w:sz w:val="20"/>
                <w:szCs w:val="20"/>
              </w:rPr>
            </w:pPr>
            <w:r w:rsidRPr="00066928">
              <w:rPr>
                <w:b/>
                <w:color w:val="auto"/>
                <w:sz w:val="20"/>
                <w:szCs w:val="20"/>
              </w:rPr>
              <w:t xml:space="preserve">Overarching Goal: </w:t>
            </w:r>
          </w:p>
          <w:p w:rsidR="009D278E" w:rsidRPr="00066928" w:rsidRDefault="009D278E" w:rsidP="00064C77">
            <w:pPr>
              <w:rPr>
                <w:color w:val="auto"/>
                <w:sz w:val="20"/>
                <w:szCs w:val="20"/>
              </w:rPr>
            </w:pPr>
            <w:r w:rsidRPr="00066928">
              <w:rPr>
                <w:color w:val="auto"/>
                <w:sz w:val="20"/>
                <w:szCs w:val="20"/>
              </w:rPr>
              <w:t>Develop plan with clear CTC system-wide objectives and strategies aimed at (1) increasing enrollment overall inclusive of all focus areas, and (2) eliminating the gap among all student groups, including underrepresented students in regards to retention and completion.</w:t>
            </w:r>
          </w:p>
          <w:p w:rsidR="009D278E" w:rsidRPr="00066928" w:rsidRDefault="009D278E" w:rsidP="00064C77">
            <w:pPr>
              <w:rPr>
                <w:b/>
                <w:sz w:val="20"/>
                <w:szCs w:val="20"/>
              </w:rPr>
            </w:pPr>
          </w:p>
        </w:tc>
        <w:tc>
          <w:tcPr>
            <w:tcW w:w="1800" w:type="dxa"/>
            <w:tcBorders>
              <w:bottom w:val="single" w:sz="4" w:space="0" w:color="auto"/>
            </w:tcBorders>
            <w:shd w:val="clear" w:color="auto" w:fill="DBE5F1" w:themeFill="accent1" w:themeFillTint="33"/>
          </w:tcPr>
          <w:p w:rsidR="009D278E" w:rsidRPr="00066928" w:rsidRDefault="009D278E" w:rsidP="00064C77">
            <w:pPr>
              <w:ind w:left="-104"/>
              <w:rPr>
                <w:b/>
                <w:sz w:val="20"/>
                <w:szCs w:val="20"/>
              </w:rPr>
            </w:pPr>
          </w:p>
        </w:tc>
        <w:tc>
          <w:tcPr>
            <w:tcW w:w="2970" w:type="dxa"/>
            <w:tcBorders>
              <w:bottom w:val="single" w:sz="4" w:space="0" w:color="auto"/>
            </w:tcBorders>
            <w:shd w:val="clear" w:color="auto" w:fill="EEECE1" w:themeFill="background2"/>
          </w:tcPr>
          <w:p w:rsidR="009D278E" w:rsidRPr="00066928" w:rsidRDefault="009D278E" w:rsidP="00064C77">
            <w:pPr>
              <w:rPr>
                <w:b/>
                <w:sz w:val="20"/>
                <w:szCs w:val="20"/>
              </w:rPr>
            </w:pPr>
          </w:p>
        </w:tc>
        <w:tc>
          <w:tcPr>
            <w:tcW w:w="4320" w:type="dxa"/>
            <w:tcBorders>
              <w:bottom w:val="single" w:sz="4" w:space="0" w:color="auto"/>
            </w:tcBorders>
            <w:shd w:val="clear" w:color="auto" w:fill="FDE9D9" w:themeFill="accent6" w:themeFillTint="33"/>
          </w:tcPr>
          <w:p w:rsidR="009D278E" w:rsidRPr="00C82586" w:rsidRDefault="009D278E" w:rsidP="00064C77">
            <w:pPr>
              <w:pBdr>
                <w:top w:val="none" w:sz="0" w:space="0" w:color="auto"/>
                <w:left w:val="none" w:sz="0" w:space="0" w:color="auto"/>
                <w:bottom w:val="none" w:sz="0" w:space="0" w:color="auto"/>
                <w:right w:val="none" w:sz="0" w:space="0" w:color="auto"/>
                <w:between w:val="none" w:sz="0" w:space="0" w:color="auto"/>
              </w:pBdr>
              <w:textAlignment w:val="center"/>
              <w:rPr>
                <w:b/>
                <w:i/>
                <w:sz w:val="20"/>
                <w:szCs w:val="20"/>
              </w:rPr>
            </w:pPr>
            <w:r w:rsidRPr="00C82586">
              <w:rPr>
                <w:b/>
                <w:i/>
                <w:sz w:val="20"/>
                <w:szCs w:val="20"/>
              </w:rPr>
              <w:t>Student lifecycle from admissions to completion and at each stage disaggregate the data.</w:t>
            </w:r>
          </w:p>
          <w:p w:rsidR="009D278E" w:rsidRPr="00C82586" w:rsidRDefault="009D278E" w:rsidP="00064C77">
            <w:pPr>
              <w:pBdr>
                <w:top w:val="none" w:sz="0" w:space="0" w:color="auto"/>
                <w:left w:val="none" w:sz="0" w:space="0" w:color="auto"/>
                <w:bottom w:val="none" w:sz="0" w:space="0" w:color="auto"/>
                <w:right w:val="none" w:sz="0" w:space="0" w:color="auto"/>
                <w:between w:val="none" w:sz="0" w:space="0" w:color="auto"/>
              </w:pBdr>
              <w:textAlignment w:val="center"/>
              <w:rPr>
                <w:b/>
                <w:i/>
                <w:sz w:val="20"/>
                <w:szCs w:val="20"/>
              </w:rPr>
            </w:pPr>
          </w:p>
          <w:p w:rsidR="009D278E" w:rsidRPr="00C82586" w:rsidRDefault="009D278E" w:rsidP="00064C77">
            <w:pPr>
              <w:rPr>
                <w:b/>
                <w:i/>
                <w:sz w:val="20"/>
                <w:szCs w:val="20"/>
              </w:rPr>
            </w:pPr>
            <w:r w:rsidRPr="00C82586">
              <w:rPr>
                <w:b/>
                <w:i/>
                <w:sz w:val="20"/>
                <w:szCs w:val="20"/>
              </w:rPr>
              <w:t>Define diversity, equity, inclusion state-wide.</w:t>
            </w:r>
          </w:p>
          <w:p w:rsidR="009D278E" w:rsidRPr="00C82586" w:rsidRDefault="009D278E" w:rsidP="00064C77">
            <w:pPr>
              <w:pBdr>
                <w:top w:val="none" w:sz="0" w:space="0" w:color="auto"/>
                <w:left w:val="none" w:sz="0" w:space="0" w:color="auto"/>
                <w:bottom w:val="none" w:sz="0" w:space="0" w:color="auto"/>
                <w:right w:val="none" w:sz="0" w:space="0" w:color="auto"/>
                <w:between w:val="none" w:sz="0" w:space="0" w:color="auto"/>
              </w:pBdr>
              <w:textAlignment w:val="center"/>
              <w:rPr>
                <w:b/>
                <w:i/>
                <w:sz w:val="20"/>
                <w:szCs w:val="20"/>
              </w:rPr>
            </w:pPr>
          </w:p>
          <w:p w:rsidR="009D278E" w:rsidRPr="00066928" w:rsidRDefault="009D278E" w:rsidP="00064C77">
            <w:pPr>
              <w:rPr>
                <w:sz w:val="20"/>
                <w:szCs w:val="20"/>
              </w:rPr>
            </w:pPr>
            <w:r w:rsidRPr="00C82586">
              <w:rPr>
                <w:b/>
                <w:sz w:val="20"/>
                <w:szCs w:val="20"/>
              </w:rPr>
              <w:t>Need to add glossary of terms.</w:t>
            </w:r>
            <w:r w:rsidRPr="00066928">
              <w:rPr>
                <w:sz w:val="20"/>
                <w:szCs w:val="20"/>
              </w:rPr>
              <w:t xml:space="preserve"> </w:t>
            </w:r>
          </w:p>
        </w:tc>
        <w:tc>
          <w:tcPr>
            <w:tcW w:w="3330" w:type="dxa"/>
            <w:tcBorders>
              <w:bottom w:val="single" w:sz="4" w:space="0" w:color="auto"/>
            </w:tcBorders>
            <w:shd w:val="clear" w:color="auto" w:fill="FDE9D9" w:themeFill="accent6" w:themeFillTint="33"/>
          </w:tcPr>
          <w:p w:rsidR="009D278E" w:rsidRPr="00066928" w:rsidRDefault="009D278E" w:rsidP="00064C77">
            <w:pPr>
              <w:pBdr>
                <w:top w:val="none" w:sz="0" w:space="0" w:color="auto"/>
                <w:left w:val="none" w:sz="0" w:space="0" w:color="auto"/>
                <w:bottom w:val="none" w:sz="0" w:space="0" w:color="auto"/>
                <w:right w:val="none" w:sz="0" w:space="0" w:color="auto"/>
                <w:between w:val="none" w:sz="0" w:space="0" w:color="auto"/>
              </w:pBdr>
              <w:textAlignment w:val="center"/>
              <w:rPr>
                <w:i/>
                <w:sz w:val="20"/>
                <w:szCs w:val="20"/>
              </w:rPr>
            </w:pPr>
          </w:p>
        </w:tc>
      </w:tr>
      <w:tr w:rsidR="009D278E" w:rsidRPr="00066928" w:rsidTr="00C72D8C">
        <w:trPr>
          <w:trHeight w:val="3050"/>
        </w:trPr>
        <w:tc>
          <w:tcPr>
            <w:tcW w:w="1800" w:type="dxa"/>
            <w:tcBorders>
              <w:top w:val="single" w:sz="4" w:space="0" w:color="auto"/>
              <w:bottom w:val="nil"/>
            </w:tcBorders>
          </w:tcPr>
          <w:p w:rsidR="009D278E" w:rsidRPr="00066928" w:rsidRDefault="009D278E" w:rsidP="00064C77">
            <w:pPr>
              <w:numPr>
                <w:ilvl w:val="0"/>
                <w:numId w:val="2"/>
              </w:numPr>
              <w:pBdr>
                <w:top w:val="single" w:sz="4" w:space="1" w:color="auto"/>
              </w:pBdr>
              <w:spacing w:after="160" w:line="259" w:lineRule="auto"/>
              <w:ind w:left="250" w:hanging="250"/>
              <w:contextualSpacing/>
              <w:rPr>
                <w:b/>
                <w:sz w:val="20"/>
                <w:szCs w:val="20"/>
              </w:rPr>
            </w:pPr>
            <w:r w:rsidRPr="00066928">
              <w:rPr>
                <w:b/>
                <w:sz w:val="20"/>
                <w:szCs w:val="20"/>
              </w:rPr>
              <w:t>K-12 Alignment</w:t>
            </w:r>
          </w:p>
          <w:p w:rsidR="009D278E" w:rsidRPr="00066928" w:rsidRDefault="009D278E" w:rsidP="00064C77">
            <w:pPr>
              <w:pBdr>
                <w:top w:val="single" w:sz="4" w:space="1" w:color="auto"/>
              </w:pBdr>
              <w:rPr>
                <w:sz w:val="20"/>
                <w:szCs w:val="20"/>
              </w:rPr>
            </w:pPr>
          </w:p>
          <w:p w:rsidR="009D278E" w:rsidRPr="00066928" w:rsidRDefault="009D278E" w:rsidP="00064C77">
            <w:pPr>
              <w:pBdr>
                <w:top w:val="single" w:sz="4" w:space="1" w:color="auto"/>
              </w:pBdr>
              <w:rPr>
                <w:sz w:val="20"/>
                <w:szCs w:val="20"/>
              </w:rPr>
            </w:pPr>
          </w:p>
          <w:p w:rsidR="009D278E" w:rsidRPr="00066928" w:rsidRDefault="009D278E" w:rsidP="00064C77">
            <w:pPr>
              <w:pBdr>
                <w:top w:val="single" w:sz="4" w:space="1" w:color="auto"/>
              </w:pBdr>
              <w:rPr>
                <w:sz w:val="20"/>
                <w:szCs w:val="20"/>
              </w:rPr>
            </w:pPr>
          </w:p>
          <w:p w:rsidR="009D278E" w:rsidRPr="00066928" w:rsidRDefault="009D278E" w:rsidP="00064C77">
            <w:pPr>
              <w:rPr>
                <w:sz w:val="20"/>
                <w:szCs w:val="20"/>
              </w:rPr>
            </w:pPr>
          </w:p>
        </w:tc>
        <w:tc>
          <w:tcPr>
            <w:tcW w:w="1800" w:type="dxa"/>
            <w:tcBorders>
              <w:top w:val="single" w:sz="4" w:space="0" w:color="auto"/>
            </w:tcBorders>
            <w:shd w:val="clear" w:color="auto" w:fill="DBE5F1" w:themeFill="accent1" w:themeFillTint="33"/>
          </w:tcPr>
          <w:p w:rsidR="009D278E" w:rsidRPr="00C82586" w:rsidRDefault="009D278E" w:rsidP="00064C77">
            <w:pPr>
              <w:ind w:left="256" w:hanging="340"/>
              <w:rPr>
                <w:b/>
                <w:color w:val="5F497A" w:themeColor="accent4" w:themeShade="BF"/>
                <w:sz w:val="20"/>
                <w:szCs w:val="20"/>
              </w:rPr>
            </w:pPr>
            <w:r w:rsidRPr="00066928">
              <w:rPr>
                <w:b/>
                <w:sz w:val="20"/>
                <w:szCs w:val="20"/>
              </w:rPr>
              <w:t>1.</w:t>
            </w:r>
            <w:r w:rsidRPr="00C82586">
              <w:rPr>
                <w:b/>
                <w:color w:val="5F497A" w:themeColor="accent4" w:themeShade="BF"/>
                <w:sz w:val="20"/>
                <w:szCs w:val="20"/>
              </w:rPr>
              <w:t>1   Increase the number of HS students participating in dual credit programs.</w:t>
            </w:r>
          </w:p>
          <w:p w:rsidR="009D278E" w:rsidRPr="00C82586" w:rsidRDefault="009D278E" w:rsidP="00064C77">
            <w:pPr>
              <w:rPr>
                <w:b/>
                <w:color w:val="5F497A" w:themeColor="accent4" w:themeShade="BF"/>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C72D8C">
            <w:pPr>
              <w:rPr>
                <w:b/>
                <w:sz w:val="20"/>
                <w:szCs w:val="20"/>
              </w:rPr>
            </w:pPr>
          </w:p>
          <w:p w:rsidR="009D278E" w:rsidRPr="00066928" w:rsidRDefault="009D278E" w:rsidP="00064C77">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970" w:type="dxa"/>
            <w:tcBorders>
              <w:top w:val="single" w:sz="4" w:space="0" w:color="auto"/>
            </w:tcBorders>
            <w:shd w:val="clear" w:color="auto" w:fill="EEECE1" w:themeFill="background2"/>
          </w:tcPr>
          <w:p w:rsidR="009D278E" w:rsidRPr="00066928" w:rsidRDefault="009D278E" w:rsidP="00064C77">
            <w:pPr>
              <w:pStyle w:val="ListParagraph"/>
              <w:numPr>
                <w:ilvl w:val="0"/>
                <w:numId w:val="26"/>
              </w:numPr>
              <w:ind w:left="166" w:hanging="180"/>
              <w:rPr>
                <w:sz w:val="20"/>
                <w:szCs w:val="20"/>
              </w:rPr>
            </w:pPr>
            <w:r w:rsidRPr="00066928">
              <w:rPr>
                <w:sz w:val="20"/>
                <w:szCs w:val="20"/>
              </w:rPr>
              <w:t>Approximately 30% of 165,000 public 11</w:t>
            </w:r>
            <w:r w:rsidRPr="00066928">
              <w:rPr>
                <w:sz w:val="20"/>
                <w:szCs w:val="20"/>
                <w:vertAlign w:val="superscript"/>
              </w:rPr>
              <w:t>th</w:t>
            </w:r>
            <w:r w:rsidRPr="00066928">
              <w:rPr>
                <w:sz w:val="20"/>
                <w:szCs w:val="20"/>
              </w:rPr>
              <w:t xml:space="preserve"> and 12</w:t>
            </w:r>
            <w:r w:rsidRPr="00066928">
              <w:rPr>
                <w:sz w:val="20"/>
                <w:szCs w:val="20"/>
                <w:vertAlign w:val="superscript"/>
              </w:rPr>
              <w:t>th</w:t>
            </w:r>
            <w:r w:rsidRPr="00066928">
              <w:rPr>
                <w:sz w:val="20"/>
                <w:szCs w:val="20"/>
              </w:rPr>
              <w:t xml:space="preserve"> graders are participating in Running Start or College in the High School.</w:t>
            </w:r>
          </w:p>
          <w:p w:rsidR="009D278E" w:rsidRPr="00066928" w:rsidRDefault="009D278E" w:rsidP="00064C77">
            <w:pPr>
              <w:pStyle w:val="ListParagraph"/>
              <w:numPr>
                <w:ilvl w:val="0"/>
                <w:numId w:val="26"/>
              </w:numPr>
              <w:ind w:left="166" w:hanging="180"/>
              <w:rPr>
                <w:sz w:val="20"/>
                <w:szCs w:val="20"/>
              </w:rPr>
            </w:pPr>
            <w:r w:rsidRPr="00066928">
              <w:rPr>
                <w:sz w:val="20"/>
                <w:szCs w:val="20"/>
              </w:rPr>
              <w:t>Approximately 115,000 public 11</w:t>
            </w:r>
            <w:r w:rsidRPr="00066928">
              <w:rPr>
                <w:sz w:val="20"/>
                <w:szCs w:val="20"/>
                <w:vertAlign w:val="superscript"/>
              </w:rPr>
              <w:t>th</w:t>
            </w:r>
            <w:r w:rsidRPr="00066928">
              <w:rPr>
                <w:sz w:val="20"/>
                <w:szCs w:val="20"/>
              </w:rPr>
              <w:t xml:space="preserve"> and 12</w:t>
            </w:r>
            <w:r w:rsidRPr="00066928">
              <w:rPr>
                <w:sz w:val="20"/>
                <w:szCs w:val="20"/>
                <w:vertAlign w:val="superscript"/>
              </w:rPr>
              <w:t>th</w:t>
            </w:r>
            <w:r w:rsidRPr="00066928">
              <w:rPr>
                <w:sz w:val="20"/>
                <w:szCs w:val="20"/>
              </w:rPr>
              <w:t xml:space="preserve"> graders are not participating in Running Start or college in the High school (many are doing other dual credit). </w:t>
            </w:r>
          </w:p>
          <w:p w:rsidR="009D278E" w:rsidRPr="00C72D8C" w:rsidRDefault="009D278E" w:rsidP="00064C77">
            <w:pPr>
              <w:pStyle w:val="ListParagraph"/>
              <w:numPr>
                <w:ilvl w:val="0"/>
                <w:numId w:val="26"/>
              </w:numPr>
              <w:ind w:left="166" w:hanging="180"/>
              <w:rPr>
                <w:sz w:val="20"/>
                <w:szCs w:val="20"/>
              </w:rPr>
            </w:pPr>
            <w:r w:rsidRPr="00066928">
              <w:rPr>
                <w:sz w:val="20"/>
                <w:szCs w:val="20"/>
              </w:rPr>
              <w:t>Lower participation rates for HU students of color (19%), low-income students (19%) and male students (24%).</w:t>
            </w:r>
          </w:p>
        </w:tc>
        <w:tc>
          <w:tcPr>
            <w:tcW w:w="4320" w:type="dxa"/>
            <w:tcBorders>
              <w:top w:val="single" w:sz="4" w:space="0" w:color="auto"/>
            </w:tcBorders>
            <w:shd w:val="clear" w:color="auto" w:fill="FDE9D9" w:themeFill="accent6" w:themeFillTint="33"/>
          </w:tcPr>
          <w:p w:rsidR="009D278E" w:rsidRPr="009D278E" w:rsidRDefault="009D278E" w:rsidP="001A2A6D">
            <w:pPr>
              <w:pStyle w:val="ListParagraph"/>
              <w:numPr>
                <w:ilvl w:val="0"/>
                <w:numId w:val="43"/>
              </w:numPr>
              <w:ind w:left="346" w:hanging="346"/>
              <w:rPr>
                <w:rFonts w:asciiTheme="majorHAnsi" w:hAnsiTheme="majorHAnsi" w:cstheme="majorHAnsi"/>
                <w:b/>
                <w:sz w:val="20"/>
                <w:szCs w:val="20"/>
              </w:rPr>
            </w:pPr>
            <w:r w:rsidRPr="009D278E">
              <w:rPr>
                <w:rFonts w:asciiTheme="majorHAnsi" w:hAnsiTheme="majorHAnsi" w:cstheme="majorHAnsi"/>
                <w:b/>
                <w:sz w:val="20"/>
                <w:szCs w:val="20"/>
              </w:rPr>
              <w:t>Create Taskforce to engage in system-level discussions and planning to:</w:t>
            </w:r>
          </w:p>
          <w:p w:rsidR="009D278E" w:rsidRPr="009D278E" w:rsidRDefault="009D278E" w:rsidP="001A2A6D">
            <w:pPr>
              <w:pStyle w:val="ListParagraph"/>
              <w:numPr>
                <w:ilvl w:val="0"/>
                <w:numId w:val="44"/>
              </w:numPr>
              <w:ind w:left="706" w:hanging="180"/>
              <w:rPr>
                <w:rFonts w:asciiTheme="majorHAnsi" w:hAnsiTheme="majorHAnsi" w:cstheme="majorHAnsi"/>
                <w:b/>
                <w:sz w:val="20"/>
                <w:szCs w:val="20"/>
              </w:rPr>
            </w:pPr>
            <w:r w:rsidRPr="009D278E">
              <w:rPr>
                <w:rFonts w:asciiTheme="majorHAnsi" w:hAnsiTheme="majorHAnsi" w:cstheme="majorHAnsi"/>
                <w:b/>
                <w:sz w:val="20"/>
                <w:szCs w:val="20"/>
              </w:rPr>
              <w:t>Identify common goals, barriers and opportunities with emphasis on HU</w:t>
            </w:r>
          </w:p>
          <w:p w:rsidR="009D278E" w:rsidRPr="009D278E" w:rsidRDefault="009D278E" w:rsidP="001A2A6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ind w:left="706" w:hanging="180"/>
              <w:contextualSpacing w:val="0"/>
              <w:rPr>
                <w:rFonts w:asciiTheme="majorHAnsi" w:hAnsiTheme="majorHAnsi" w:cstheme="majorHAnsi"/>
                <w:b/>
                <w:sz w:val="20"/>
                <w:szCs w:val="20"/>
              </w:rPr>
            </w:pPr>
            <w:r w:rsidRPr="009D278E">
              <w:rPr>
                <w:rFonts w:asciiTheme="majorHAnsi" w:hAnsiTheme="majorHAnsi" w:cstheme="majorHAnsi"/>
                <w:b/>
                <w:sz w:val="20"/>
                <w:szCs w:val="20"/>
              </w:rPr>
              <w:t>Expand CTE RS and College in the High School including:</w:t>
            </w:r>
            <w:r w:rsidRPr="009D278E">
              <w:rPr>
                <w:rFonts w:asciiTheme="majorHAnsi" w:hAnsiTheme="majorHAnsi" w:cstheme="majorHAnsi"/>
                <w:b/>
                <w:sz w:val="20"/>
                <w:szCs w:val="20"/>
              </w:rPr>
              <w:t xml:space="preserve"> </w:t>
            </w:r>
            <w:r w:rsidRPr="009D278E">
              <w:rPr>
                <w:rFonts w:asciiTheme="majorHAnsi" w:hAnsiTheme="majorHAnsi" w:cstheme="majorHAnsi"/>
                <w:b/>
                <w:sz w:val="20"/>
                <w:szCs w:val="20"/>
              </w:rPr>
              <w:t xml:space="preserve">Mapping additional CTE courses to </w:t>
            </w:r>
            <w:r w:rsidRPr="009D278E">
              <w:rPr>
                <w:rFonts w:asciiTheme="majorHAnsi" w:hAnsiTheme="majorHAnsi" w:cstheme="majorHAnsi"/>
                <w:b/>
                <w:sz w:val="20"/>
                <w:szCs w:val="20"/>
              </w:rPr>
              <w:t xml:space="preserve"> </w:t>
            </w:r>
            <w:r w:rsidRPr="009D278E">
              <w:rPr>
                <w:rFonts w:asciiTheme="majorHAnsi" w:hAnsiTheme="majorHAnsi" w:cstheme="majorHAnsi"/>
                <w:b/>
                <w:sz w:val="20"/>
                <w:szCs w:val="20"/>
              </w:rPr>
              <w:t>HS graduation requirements</w:t>
            </w:r>
          </w:p>
          <w:p w:rsidR="009D278E" w:rsidRPr="00F2416E" w:rsidRDefault="009D278E" w:rsidP="00F2416E">
            <w:pPr>
              <w:rPr>
                <w:b/>
                <w:i/>
                <w:sz w:val="20"/>
                <w:szCs w:val="20"/>
              </w:rPr>
            </w:pPr>
          </w:p>
        </w:tc>
        <w:tc>
          <w:tcPr>
            <w:tcW w:w="3330" w:type="dxa"/>
            <w:tcBorders>
              <w:top w:val="single" w:sz="4" w:space="0" w:color="auto"/>
            </w:tcBorders>
            <w:shd w:val="clear" w:color="auto" w:fill="FDE9D9" w:themeFill="accent6" w:themeFillTint="33"/>
          </w:tcPr>
          <w:p w:rsidR="009D278E" w:rsidRPr="00C82586" w:rsidRDefault="009D278E" w:rsidP="005B771E">
            <w:pPr>
              <w:pStyle w:val="NormalWeb"/>
              <w:spacing w:before="0" w:beforeAutospacing="0" w:after="0" w:afterAutospacing="0" w:line="252" w:lineRule="auto"/>
              <w:rPr>
                <w:rFonts w:ascii="Calibri" w:eastAsia="Calibri" w:hAnsi="Calibri" w:cs="Calibri"/>
                <w:b/>
                <w:i/>
                <w:color w:val="000000"/>
                <w:sz w:val="20"/>
                <w:szCs w:val="20"/>
              </w:rPr>
            </w:pPr>
            <w:r w:rsidRPr="00C82586">
              <w:rPr>
                <w:rFonts w:ascii="Calibri" w:eastAsia="Calibri" w:hAnsi="Calibri" w:cs="Calibri"/>
                <w:b/>
                <w:i/>
                <w:color w:val="000000"/>
                <w:sz w:val="20"/>
                <w:szCs w:val="20"/>
              </w:rPr>
              <w:t>Establish a taskforce including representations from: Articulation and Transfer Council (ATC), Running Start coordinators, high school counselors, Workforce Education Council (WEC) and the Public Information Commission (PIC).</w:t>
            </w:r>
          </w:p>
          <w:p w:rsidR="009D278E" w:rsidRPr="00C82586" w:rsidRDefault="009D278E" w:rsidP="00064C77">
            <w:pPr>
              <w:pStyle w:val="NormalWeb"/>
              <w:spacing w:before="0" w:beforeAutospacing="0" w:after="0" w:afterAutospacing="0"/>
              <w:rPr>
                <w:rFonts w:ascii="Calibri" w:eastAsia="Calibri" w:hAnsi="Calibri" w:cs="Calibri"/>
                <w:b/>
                <w:i/>
                <w:color w:val="000000"/>
                <w:sz w:val="20"/>
                <w:szCs w:val="20"/>
              </w:rPr>
            </w:pPr>
          </w:p>
          <w:p w:rsidR="009D278E" w:rsidRDefault="009D278E" w:rsidP="00064C77">
            <w:pPr>
              <w:pStyle w:val="NormalWeb"/>
              <w:pBdr>
                <w:top w:val="nil"/>
                <w:left w:val="nil"/>
                <w:bottom w:val="nil"/>
                <w:right w:val="nil"/>
                <w:between w:val="nil"/>
              </w:pBdr>
              <w:spacing w:before="0" w:beforeAutospacing="0" w:after="0" w:afterAutospacing="0"/>
              <w:rPr>
                <w:rFonts w:ascii="Calibri" w:eastAsia="Calibri" w:hAnsi="Calibri" w:cs="Calibri"/>
                <w:b/>
                <w:color w:val="000000"/>
                <w:sz w:val="20"/>
                <w:szCs w:val="20"/>
              </w:rPr>
            </w:pPr>
          </w:p>
          <w:p w:rsidR="009D278E" w:rsidRPr="00C72D8C" w:rsidRDefault="009D278E" w:rsidP="00064C77">
            <w:pPr>
              <w:pStyle w:val="NormalWeb"/>
              <w:pBdr>
                <w:top w:val="nil"/>
                <w:left w:val="nil"/>
                <w:bottom w:val="nil"/>
                <w:right w:val="nil"/>
                <w:between w:val="nil"/>
              </w:pBdr>
              <w:spacing w:before="0" w:beforeAutospacing="0" w:after="0" w:afterAutospacing="0"/>
              <w:rPr>
                <w:rFonts w:ascii="Calibri" w:eastAsia="Calibri" w:hAnsi="Calibri" w:cs="Calibri"/>
                <w:b/>
                <w:color w:val="000000"/>
                <w:sz w:val="20"/>
                <w:szCs w:val="20"/>
              </w:rPr>
            </w:pPr>
            <w:r w:rsidRPr="00C82586">
              <w:rPr>
                <w:rFonts w:ascii="Calibri" w:eastAsia="Calibri" w:hAnsi="Calibri" w:cs="Calibri"/>
                <w:b/>
                <w:color w:val="4F6228" w:themeColor="accent3" w:themeShade="80"/>
                <w:sz w:val="20"/>
                <w:szCs w:val="20"/>
              </w:rPr>
              <w:t xml:space="preserve">TIMELINE: </w:t>
            </w:r>
            <w:r w:rsidR="001A2A6D" w:rsidRPr="00C82586">
              <w:rPr>
                <w:rFonts w:ascii="Calibri" w:eastAsia="Calibri" w:hAnsi="Calibri" w:cs="Calibri"/>
                <w:b/>
                <w:color w:val="4F6228" w:themeColor="accent3" w:themeShade="80"/>
                <w:sz w:val="20"/>
                <w:szCs w:val="20"/>
              </w:rPr>
              <w:t xml:space="preserve"> TBD</w:t>
            </w:r>
          </w:p>
        </w:tc>
      </w:tr>
      <w:tr w:rsidR="009D278E" w:rsidRPr="00066928" w:rsidTr="00C72D8C">
        <w:trPr>
          <w:trHeight w:val="2771"/>
        </w:trPr>
        <w:tc>
          <w:tcPr>
            <w:tcW w:w="1800" w:type="dxa"/>
            <w:tcBorders>
              <w:top w:val="nil"/>
              <w:bottom w:val="single" w:sz="4" w:space="0" w:color="auto"/>
            </w:tcBorders>
          </w:tcPr>
          <w:p w:rsidR="009D278E" w:rsidRPr="00066928" w:rsidRDefault="009D278E" w:rsidP="00064C77">
            <w:pPr>
              <w:ind w:left="360"/>
              <w:contextualSpacing/>
              <w:rPr>
                <w:b/>
                <w:sz w:val="20"/>
                <w:szCs w:val="20"/>
              </w:rPr>
            </w:pPr>
          </w:p>
        </w:tc>
        <w:tc>
          <w:tcPr>
            <w:tcW w:w="1800" w:type="dxa"/>
            <w:shd w:val="clear" w:color="auto" w:fill="DBE5F1" w:themeFill="accent1" w:themeFillTint="33"/>
          </w:tcPr>
          <w:p w:rsidR="009D278E" w:rsidRPr="00C82586" w:rsidRDefault="009D278E" w:rsidP="00064C77">
            <w:pPr>
              <w:ind w:left="340" w:hanging="340"/>
              <w:rPr>
                <w:b/>
                <w:color w:val="5F497A" w:themeColor="accent4" w:themeShade="BF"/>
                <w:sz w:val="20"/>
                <w:szCs w:val="20"/>
              </w:rPr>
            </w:pPr>
            <w:r w:rsidRPr="00066928">
              <w:rPr>
                <w:b/>
                <w:sz w:val="20"/>
                <w:szCs w:val="20"/>
              </w:rPr>
              <w:t xml:space="preserve">1.2 </w:t>
            </w:r>
            <w:r w:rsidRPr="00C82586">
              <w:rPr>
                <w:b/>
                <w:color w:val="5F497A" w:themeColor="accent4" w:themeShade="BF"/>
                <w:sz w:val="20"/>
                <w:szCs w:val="20"/>
              </w:rPr>
              <w:t xml:space="preserve">Increase the number of high school graduates enrolling in higher education directly after high school. </w:t>
            </w:r>
          </w:p>
          <w:p w:rsidR="009D278E" w:rsidRPr="00066928" w:rsidRDefault="009D278E" w:rsidP="00064C77">
            <w:pPr>
              <w:ind w:left="256" w:hanging="340"/>
              <w:rPr>
                <w:b/>
                <w:sz w:val="20"/>
                <w:szCs w:val="20"/>
              </w:rPr>
            </w:pPr>
          </w:p>
        </w:tc>
        <w:tc>
          <w:tcPr>
            <w:tcW w:w="2970" w:type="dxa"/>
            <w:shd w:val="clear" w:color="auto" w:fill="EEECE1" w:themeFill="background2"/>
          </w:tcPr>
          <w:p w:rsidR="009D278E" w:rsidRPr="00066928" w:rsidRDefault="009D278E" w:rsidP="00064C77">
            <w:pPr>
              <w:pStyle w:val="ListParagraph"/>
              <w:numPr>
                <w:ilvl w:val="0"/>
                <w:numId w:val="27"/>
              </w:numPr>
              <w:ind w:left="166" w:hanging="180"/>
              <w:rPr>
                <w:sz w:val="20"/>
                <w:szCs w:val="20"/>
              </w:rPr>
            </w:pPr>
            <w:r w:rsidRPr="00066928">
              <w:rPr>
                <w:sz w:val="20"/>
                <w:szCs w:val="20"/>
              </w:rPr>
              <w:t>Approximately 60% of 69,000 public high school graduates in a year are enrolling in college the year after graduating</w:t>
            </w:r>
          </w:p>
          <w:p w:rsidR="009D278E" w:rsidRPr="00066928" w:rsidRDefault="009D278E" w:rsidP="00064C77">
            <w:pPr>
              <w:pStyle w:val="ListParagraph"/>
              <w:numPr>
                <w:ilvl w:val="0"/>
                <w:numId w:val="27"/>
              </w:numPr>
              <w:ind w:left="166" w:hanging="180"/>
              <w:rPr>
                <w:sz w:val="20"/>
                <w:szCs w:val="20"/>
              </w:rPr>
            </w:pPr>
            <w:r w:rsidRPr="00066928">
              <w:rPr>
                <w:sz w:val="20"/>
                <w:szCs w:val="20"/>
              </w:rPr>
              <w:t>Approximately 28,000 public high school graduates in a year are not enrolling in college the year after graduating</w:t>
            </w:r>
          </w:p>
          <w:p w:rsidR="009D278E" w:rsidRPr="00066928" w:rsidRDefault="009D278E" w:rsidP="00064C77">
            <w:pPr>
              <w:pStyle w:val="ListParagraph"/>
              <w:numPr>
                <w:ilvl w:val="0"/>
                <w:numId w:val="27"/>
              </w:numPr>
              <w:ind w:left="166" w:hanging="180"/>
              <w:rPr>
                <w:sz w:val="20"/>
                <w:szCs w:val="20"/>
              </w:rPr>
            </w:pPr>
            <w:r w:rsidRPr="00066928">
              <w:rPr>
                <w:sz w:val="20"/>
                <w:szCs w:val="20"/>
              </w:rPr>
              <w:t>Lower rates for HU students of color (51%) and low-income students (48%).</w:t>
            </w:r>
          </w:p>
          <w:p w:rsidR="009D278E" w:rsidRPr="00066928" w:rsidRDefault="009D278E" w:rsidP="00064C77">
            <w:pPr>
              <w:pStyle w:val="ListParagraph"/>
              <w:ind w:left="166"/>
              <w:rPr>
                <w:sz w:val="20"/>
                <w:szCs w:val="20"/>
              </w:rPr>
            </w:pPr>
          </w:p>
          <w:p w:rsidR="009D278E" w:rsidRPr="00066928" w:rsidRDefault="009D278E" w:rsidP="00064C77">
            <w:pPr>
              <w:rPr>
                <w:sz w:val="20"/>
                <w:szCs w:val="20"/>
              </w:rPr>
            </w:pPr>
            <w:r w:rsidRPr="009D278E">
              <w:rPr>
                <w:color w:val="auto"/>
                <w:sz w:val="20"/>
                <w:szCs w:val="20"/>
              </w:rPr>
              <w:t xml:space="preserve">Data Need: Where do 40% of high school graduates who do not enroll in college go. </w:t>
            </w:r>
            <w:r>
              <w:rPr>
                <w:color w:val="auto"/>
                <w:sz w:val="20"/>
                <w:szCs w:val="20"/>
              </w:rPr>
              <w:t>(see Devin presentation)</w:t>
            </w:r>
          </w:p>
        </w:tc>
        <w:tc>
          <w:tcPr>
            <w:tcW w:w="4320" w:type="dxa"/>
            <w:shd w:val="clear" w:color="auto" w:fill="FDE9D9" w:themeFill="accent6" w:themeFillTint="33"/>
          </w:tcPr>
          <w:p w:rsidR="009D278E" w:rsidRPr="005F1172" w:rsidRDefault="009D278E" w:rsidP="001A2A6D">
            <w:pPr>
              <w:pStyle w:val="PlainText"/>
              <w:numPr>
                <w:ilvl w:val="0"/>
                <w:numId w:val="43"/>
              </w:numPr>
              <w:pBdr>
                <w:top w:val="nil"/>
                <w:left w:val="nil"/>
                <w:bottom w:val="nil"/>
                <w:right w:val="nil"/>
                <w:between w:val="nil"/>
              </w:pBdr>
              <w:tabs>
                <w:tab w:val="left" w:pos="1440"/>
              </w:tabs>
              <w:ind w:left="256" w:hanging="270"/>
              <w:rPr>
                <w:b/>
                <w:sz w:val="20"/>
                <w:szCs w:val="20"/>
              </w:rPr>
            </w:pPr>
            <w:r w:rsidRPr="005F1172">
              <w:rPr>
                <w:b/>
                <w:sz w:val="20"/>
                <w:szCs w:val="20"/>
              </w:rPr>
              <w:t>Create Community Engagement Framework that can be scaled to system-level and applied locally. Framework will:</w:t>
            </w:r>
          </w:p>
          <w:p w:rsidR="009D278E" w:rsidRPr="005F1172" w:rsidRDefault="009D278E" w:rsidP="001A2A6D">
            <w:pPr>
              <w:pStyle w:val="PlainText"/>
              <w:numPr>
                <w:ilvl w:val="0"/>
                <w:numId w:val="44"/>
              </w:numPr>
              <w:pBdr>
                <w:top w:val="nil"/>
                <w:left w:val="nil"/>
                <w:bottom w:val="nil"/>
                <w:right w:val="nil"/>
                <w:between w:val="nil"/>
              </w:pBdr>
              <w:tabs>
                <w:tab w:val="left" w:pos="1440"/>
              </w:tabs>
              <w:ind w:left="796" w:hanging="270"/>
              <w:rPr>
                <w:b/>
                <w:sz w:val="20"/>
                <w:szCs w:val="20"/>
              </w:rPr>
            </w:pPr>
            <w:r w:rsidRPr="005F1172">
              <w:rPr>
                <w:b/>
                <w:sz w:val="20"/>
                <w:szCs w:val="20"/>
              </w:rPr>
              <w:t>Identify strategies to enhance relationships with organizations that serve HU populations (need to flesh this out)</w:t>
            </w:r>
          </w:p>
          <w:p w:rsidR="009D278E" w:rsidRPr="00066928" w:rsidRDefault="009D278E" w:rsidP="00064C77">
            <w:pPr>
              <w:rPr>
                <w:b/>
                <w:i/>
                <w:sz w:val="20"/>
                <w:szCs w:val="20"/>
              </w:rPr>
            </w:pPr>
          </w:p>
        </w:tc>
        <w:tc>
          <w:tcPr>
            <w:tcW w:w="3330" w:type="dxa"/>
            <w:shd w:val="clear" w:color="auto" w:fill="FDE9D9" w:themeFill="accent6" w:themeFillTint="33"/>
          </w:tcPr>
          <w:p w:rsidR="009D278E" w:rsidRPr="00C82586" w:rsidRDefault="009D278E" w:rsidP="00064C77">
            <w:pPr>
              <w:pBdr>
                <w:top w:val="none" w:sz="0" w:space="0" w:color="auto"/>
                <w:left w:val="none" w:sz="0" w:space="0" w:color="auto"/>
                <w:bottom w:val="none" w:sz="0" w:space="0" w:color="auto"/>
                <w:right w:val="none" w:sz="0" w:space="0" w:color="auto"/>
                <w:between w:val="none" w:sz="0" w:space="0" w:color="auto"/>
              </w:pBdr>
              <w:rPr>
                <w:b/>
                <w:i/>
                <w:sz w:val="20"/>
                <w:szCs w:val="20"/>
              </w:rPr>
            </w:pPr>
            <w:r w:rsidRPr="00C82586">
              <w:rPr>
                <w:b/>
                <w:i/>
                <w:sz w:val="20"/>
                <w:szCs w:val="20"/>
              </w:rPr>
              <w:t>Public Information Commission (PIC).</w:t>
            </w:r>
          </w:p>
          <w:p w:rsidR="009D278E" w:rsidRDefault="009D278E" w:rsidP="00064C77">
            <w:pPr>
              <w:rPr>
                <w:b/>
                <w:i/>
                <w:sz w:val="20"/>
                <w:szCs w:val="20"/>
              </w:rPr>
            </w:pPr>
          </w:p>
          <w:p w:rsidR="001A2A6D" w:rsidRPr="00066928" w:rsidRDefault="001A2A6D" w:rsidP="00C82586">
            <w:pPr>
              <w:pStyle w:val="NormalWeb"/>
              <w:pBdr>
                <w:top w:val="nil"/>
                <w:left w:val="nil"/>
                <w:bottom w:val="nil"/>
                <w:right w:val="nil"/>
                <w:between w:val="nil"/>
              </w:pBdr>
              <w:spacing w:before="0" w:beforeAutospacing="0" w:after="0" w:afterAutospacing="0"/>
              <w:rPr>
                <w:b/>
                <w:i/>
                <w:sz w:val="20"/>
                <w:szCs w:val="20"/>
              </w:rPr>
            </w:pPr>
            <w:r w:rsidRPr="00C82586">
              <w:rPr>
                <w:rFonts w:ascii="Calibri" w:eastAsia="Calibri" w:hAnsi="Calibri" w:cs="Calibri"/>
                <w:b/>
                <w:color w:val="4F6228" w:themeColor="accent3" w:themeShade="80"/>
                <w:sz w:val="20"/>
                <w:szCs w:val="20"/>
              </w:rPr>
              <w:t>TIMELINE:  TBD</w:t>
            </w:r>
          </w:p>
        </w:tc>
      </w:tr>
      <w:tr w:rsidR="009D278E" w:rsidRPr="00066928" w:rsidTr="00C72D8C">
        <w:tc>
          <w:tcPr>
            <w:tcW w:w="1800" w:type="dxa"/>
            <w:tcBorders>
              <w:top w:val="single" w:sz="4" w:space="0" w:color="auto"/>
              <w:bottom w:val="nil"/>
            </w:tcBorders>
          </w:tcPr>
          <w:p w:rsidR="009D278E" w:rsidRPr="00066928" w:rsidRDefault="009D278E" w:rsidP="00064C77">
            <w:pPr>
              <w:rPr>
                <w:b/>
                <w:sz w:val="20"/>
                <w:szCs w:val="20"/>
              </w:rPr>
            </w:pPr>
            <w:r w:rsidRPr="00066928">
              <w:rPr>
                <w:b/>
                <w:sz w:val="20"/>
                <w:szCs w:val="20"/>
              </w:rPr>
              <w:t>2. Adult Reengagement</w:t>
            </w:r>
          </w:p>
        </w:tc>
        <w:tc>
          <w:tcPr>
            <w:tcW w:w="1800" w:type="dxa"/>
            <w:shd w:val="clear" w:color="auto" w:fill="DBE5F1" w:themeFill="accent1" w:themeFillTint="33"/>
          </w:tcPr>
          <w:p w:rsidR="009D278E" w:rsidRPr="00C82586" w:rsidRDefault="009D278E" w:rsidP="00064C77">
            <w:pPr>
              <w:ind w:left="340" w:hanging="340"/>
              <w:rPr>
                <w:b/>
                <w:color w:val="5F497A" w:themeColor="accent4" w:themeShade="BF"/>
                <w:sz w:val="20"/>
                <w:szCs w:val="20"/>
              </w:rPr>
            </w:pPr>
            <w:r w:rsidRPr="00066928">
              <w:rPr>
                <w:sz w:val="20"/>
                <w:szCs w:val="20"/>
              </w:rPr>
              <w:t>2</w:t>
            </w:r>
            <w:r w:rsidRPr="00066928">
              <w:rPr>
                <w:b/>
                <w:sz w:val="20"/>
                <w:szCs w:val="20"/>
              </w:rPr>
              <w:t xml:space="preserve">.1 </w:t>
            </w:r>
            <w:r w:rsidRPr="00C82586">
              <w:rPr>
                <w:b/>
                <w:color w:val="5F497A" w:themeColor="accent4" w:themeShade="BF"/>
                <w:sz w:val="20"/>
                <w:szCs w:val="20"/>
              </w:rPr>
              <w:t>Increase enrollment to close the equity gap for adult reengagement for students who have not enrolled in college</w:t>
            </w:r>
          </w:p>
          <w:p w:rsidR="009D278E" w:rsidRPr="00C82586" w:rsidRDefault="009D278E" w:rsidP="00064C77">
            <w:pPr>
              <w:rPr>
                <w:b/>
                <w:color w:val="5F497A" w:themeColor="accent4" w:themeShade="BF"/>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70" w:type="dxa"/>
            <w:shd w:val="clear" w:color="auto" w:fill="EEECE1" w:themeFill="background2"/>
          </w:tcPr>
          <w:p w:rsidR="009D278E" w:rsidRPr="00066928" w:rsidRDefault="009D278E" w:rsidP="00064C77">
            <w:pPr>
              <w:pStyle w:val="ListParagraph"/>
              <w:numPr>
                <w:ilvl w:val="0"/>
                <w:numId w:val="28"/>
              </w:numPr>
              <w:ind w:left="166" w:hanging="180"/>
              <w:rPr>
                <w:sz w:val="20"/>
                <w:szCs w:val="20"/>
              </w:rPr>
            </w:pPr>
            <w:r w:rsidRPr="00066928">
              <w:rPr>
                <w:sz w:val="20"/>
                <w:szCs w:val="20"/>
              </w:rPr>
              <w:t>Approximately 12,000 public high school students drop out of high school without graduating (15%)</w:t>
            </w:r>
          </w:p>
          <w:p w:rsidR="009D278E" w:rsidRPr="00066928" w:rsidRDefault="009D278E" w:rsidP="00064C77">
            <w:pPr>
              <w:pStyle w:val="ListParagraph"/>
              <w:numPr>
                <w:ilvl w:val="0"/>
                <w:numId w:val="28"/>
              </w:numPr>
              <w:ind w:left="166" w:hanging="180"/>
              <w:rPr>
                <w:sz w:val="20"/>
                <w:szCs w:val="20"/>
              </w:rPr>
            </w:pPr>
            <w:r w:rsidRPr="00066928">
              <w:rPr>
                <w:sz w:val="20"/>
                <w:szCs w:val="20"/>
              </w:rPr>
              <w:t xml:space="preserve"> Higher dropout rates for HU students of color (23%) and low-income students (23%)</w:t>
            </w:r>
          </w:p>
          <w:p w:rsidR="009D278E" w:rsidRPr="00066928" w:rsidRDefault="009D278E" w:rsidP="00064C77">
            <w:pPr>
              <w:pStyle w:val="ListParagraph"/>
              <w:numPr>
                <w:ilvl w:val="0"/>
                <w:numId w:val="28"/>
              </w:numPr>
              <w:ind w:left="166" w:hanging="180"/>
              <w:rPr>
                <w:sz w:val="20"/>
                <w:szCs w:val="20"/>
              </w:rPr>
            </w:pPr>
            <w:r w:rsidRPr="00066928">
              <w:rPr>
                <w:sz w:val="20"/>
                <w:szCs w:val="20"/>
              </w:rPr>
              <w:t>Approximately 265,000 25-44 year olds in the state with no college and a household income under $50,000 a year.</w:t>
            </w:r>
          </w:p>
          <w:p w:rsidR="009D278E" w:rsidRPr="00066928" w:rsidRDefault="009D278E" w:rsidP="00064C77">
            <w:pPr>
              <w:rPr>
                <w:color w:val="FF0000"/>
                <w:sz w:val="20"/>
                <w:szCs w:val="20"/>
              </w:rPr>
            </w:pPr>
          </w:p>
          <w:p w:rsidR="009D278E" w:rsidRPr="009D278E" w:rsidRDefault="009D278E" w:rsidP="00064C77">
            <w:pPr>
              <w:rPr>
                <w:color w:val="auto"/>
                <w:sz w:val="20"/>
                <w:szCs w:val="20"/>
              </w:rPr>
            </w:pPr>
            <w:r w:rsidRPr="009D278E">
              <w:rPr>
                <w:color w:val="auto"/>
                <w:sz w:val="20"/>
                <w:szCs w:val="20"/>
              </w:rPr>
              <w:t>Data Need: HS demographic data that is pre-graduation (to identify demographic targets for CC districts.</w:t>
            </w:r>
          </w:p>
          <w:p w:rsidR="009D278E" w:rsidRDefault="009D278E" w:rsidP="00064C77">
            <w:pPr>
              <w:rPr>
                <w:color w:val="FF0000"/>
                <w:sz w:val="20"/>
                <w:szCs w:val="20"/>
              </w:rPr>
            </w:pPr>
          </w:p>
          <w:p w:rsidR="009D278E" w:rsidRPr="009D278E" w:rsidRDefault="009D278E" w:rsidP="005F1172">
            <w:pPr>
              <w:rPr>
                <w:color w:val="auto"/>
                <w:sz w:val="20"/>
                <w:szCs w:val="20"/>
              </w:rPr>
            </w:pPr>
            <w:r w:rsidRPr="009D278E">
              <w:rPr>
                <w:color w:val="auto"/>
                <w:sz w:val="20"/>
                <w:szCs w:val="20"/>
              </w:rPr>
              <w:t>Possible Metrics</w:t>
            </w:r>
            <w:r w:rsidRPr="009D278E">
              <w:rPr>
                <w:color w:val="auto"/>
                <w:sz w:val="20"/>
                <w:szCs w:val="20"/>
              </w:rPr>
              <w:t xml:space="preserve"> (a)</w:t>
            </w:r>
          </w:p>
          <w:p w:rsidR="009D278E" w:rsidRPr="009D278E" w:rsidRDefault="009D278E" w:rsidP="005F1172">
            <w:pPr>
              <w:pStyle w:val="ListParagraph"/>
              <w:numPr>
                <w:ilvl w:val="0"/>
                <w:numId w:val="47"/>
              </w:numPr>
              <w:rPr>
                <w:color w:val="auto"/>
                <w:sz w:val="20"/>
                <w:szCs w:val="20"/>
              </w:rPr>
            </w:pPr>
            <w:r w:rsidRPr="009D278E">
              <w:rPr>
                <w:color w:val="auto"/>
                <w:sz w:val="20"/>
                <w:szCs w:val="20"/>
              </w:rPr>
              <w:t>% Increase in adult learners (&gt;25) (with prior college/wo prior college?)</w:t>
            </w:r>
          </w:p>
          <w:p w:rsidR="009D278E" w:rsidRPr="009D278E" w:rsidRDefault="009D278E" w:rsidP="005F1172">
            <w:pPr>
              <w:rPr>
                <w:color w:val="auto"/>
                <w:sz w:val="20"/>
                <w:szCs w:val="20"/>
              </w:rPr>
            </w:pPr>
          </w:p>
          <w:p w:rsidR="009D278E" w:rsidRPr="009D278E" w:rsidRDefault="009D278E" w:rsidP="005F1172">
            <w:pPr>
              <w:rPr>
                <w:color w:val="auto"/>
                <w:sz w:val="20"/>
                <w:szCs w:val="20"/>
              </w:rPr>
            </w:pPr>
            <w:r w:rsidRPr="009D278E">
              <w:rPr>
                <w:color w:val="auto"/>
                <w:sz w:val="20"/>
                <w:szCs w:val="20"/>
              </w:rPr>
              <w:t>Possible Metrics</w:t>
            </w:r>
            <w:r w:rsidRPr="009D278E">
              <w:rPr>
                <w:color w:val="auto"/>
                <w:sz w:val="20"/>
                <w:szCs w:val="20"/>
              </w:rPr>
              <w:t xml:space="preserve"> (b)</w:t>
            </w:r>
          </w:p>
          <w:p w:rsidR="009D278E" w:rsidRPr="009D278E" w:rsidRDefault="009D278E" w:rsidP="005F1172">
            <w:pPr>
              <w:pStyle w:val="ListParagraph"/>
              <w:numPr>
                <w:ilvl w:val="0"/>
                <w:numId w:val="46"/>
              </w:numPr>
              <w:rPr>
                <w:color w:val="auto"/>
                <w:sz w:val="20"/>
                <w:szCs w:val="20"/>
              </w:rPr>
            </w:pPr>
            <w:r w:rsidRPr="009D278E">
              <w:rPr>
                <w:color w:val="auto"/>
                <w:sz w:val="20"/>
                <w:szCs w:val="20"/>
              </w:rPr>
              <w:t>Enrollment in Basic Skills</w:t>
            </w:r>
          </w:p>
          <w:p w:rsidR="009D278E" w:rsidRPr="009D278E" w:rsidRDefault="009D278E" w:rsidP="005F1172">
            <w:pPr>
              <w:pStyle w:val="ListParagraph"/>
              <w:numPr>
                <w:ilvl w:val="0"/>
                <w:numId w:val="46"/>
              </w:numPr>
              <w:rPr>
                <w:color w:val="auto"/>
                <w:sz w:val="20"/>
                <w:szCs w:val="20"/>
              </w:rPr>
            </w:pPr>
            <w:r w:rsidRPr="009D278E">
              <w:rPr>
                <w:color w:val="auto"/>
                <w:sz w:val="20"/>
                <w:szCs w:val="20"/>
              </w:rPr>
              <w:lastRenderedPageBreak/>
              <w:t>What conversion data makes sense for</w:t>
            </w:r>
            <w:r w:rsidRPr="009D278E">
              <w:rPr>
                <w:color w:val="auto"/>
                <w:sz w:val="20"/>
                <w:szCs w:val="20"/>
              </w:rPr>
              <w:t xml:space="preserve"> apples to appl</w:t>
            </w:r>
            <w:r w:rsidRPr="009D278E">
              <w:rPr>
                <w:color w:val="auto"/>
                <w:sz w:val="20"/>
                <w:szCs w:val="20"/>
              </w:rPr>
              <w:t>es comparison?</w:t>
            </w:r>
          </w:p>
          <w:p w:rsidR="009D278E" w:rsidRPr="009D278E" w:rsidRDefault="009D278E" w:rsidP="005F1172">
            <w:pPr>
              <w:pStyle w:val="ListParagraph"/>
              <w:numPr>
                <w:ilvl w:val="0"/>
                <w:numId w:val="46"/>
              </w:numPr>
              <w:rPr>
                <w:color w:val="auto"/>
                <w:sz w:val="20"/>
                <w:szCs w:val="20"/>
              </w:rPr>
            </w:pPr>
            <w:r w:rsidRPr="009D278E">
              <w:rPr>
                <w:color w:val="auto"/>
                <w:sz w:val="20"/>
                <w:szCs w:val="20"/>
              </w:rPr>
              <w:t xml:space="preserve">Diploma Completion </w:t>
            </w:r>
          </w:p>
          <w:p w:rsidR="009D278E" w:rsidRPr="009D278E" w:rsidRDefault="009D278E" w:rsidP="005F1172">
            <w:pPr>
              <w:pStyle w:val="ListParagraph"/>
              <w:numPr>
                <w:ilvl w:val="0"/>
                <w:numId w:val="46"/>
              </w:numPr>
              <w:rPr>
                <w:color w:val="auto"/>
                <w:sz w:val="20"/>
                <w:szCs w:val="20"/>
              </w:rPr>
            </w:pPr>
            <w:r w:rsidRPr="009D278E">
              <w:rPr>
                <w:color w:val="auto"/>
                <w:sz w:val="20"/>
                <w:szCs w:val="20"/>
              </w:rPr>
              <w:t>% of Diploma Completers who continue to accrue credits after completing.</w:t>
            </w:r>
          </w:p>
          <w:p w:rsidR="009D278E" w:rsidRPr="00066928" w:rsidRDefault="009D278E" w:rsidP="00064C77">
            <w:pPr>
              <w:rPr>
                <w:b/>
                <w:bCs/>
                <w:color w:val="ED7D31"/>
                <w:sz w:val="20"/>
                <w:szCs w:val="20"/>
              </w:rPr>
            </w:pPr>
          </w:p>
        </w:tc>
        <w:tc>
          <w:tcPr>
            <w:tcW w:w="4320" w:type="dxa"/>
            <w:tcBorders>
              <w:bottom w:val="nil"/>
            </w:tcBorders>
            <w:shd w:val="clear" w:color="auto" w:fill="FDE9D9" w:themeFill="accent6" w:themeFillTint="33"/>
          </w:tcPr>
          <w:p w:rsidR="009D278E" w:rsidRPr="001A2A6D" w:rsidRDefault="009D278E" w:rsidP="001A2A6D">
            <w:pPr>
              <w:pStyle w:val="PlainText"/>
              <w:numPr>
                <w:ilvl w:val="0"/>
                <w:numId w:val="45"/>
              </w:numPr>
              <w:tabs>
                <w:tab w:val="left" w:pos="1440"/>
              </w:tabs>
              <w:ind w:left="346" w:hanging="346"/>
              <w:rPr>
                <w:b/>
                <w:sz w:val="20"/>
                <w:szCs w:val="20"/>
              </w:rPr>
            </w:pPr>
            <w:r>
              <w:rPr>
                <w:b/>
                <w:sz w:val="20"/>
                <w:szCs w:val="20"/>
              </w:rPr>
              <w:lastRenderedPageBreak/>
              <w:t>Identify</w:t>
            </w:r>
            <w:r w:rsidRPr="001A2A6D">
              <w:rPr>
                <w:b/>
                <w:sz w:val="20"/>
                <w:szCs w:val="20"/>
              </w:rPr>
              <w:t>, disseminate, and implement effective equity-minded adult re-engagement programs that identify/eliminate/reduce barriers and opportunities including consideration of strategies for workplace learning, partnerships with industry, distance education and other delivery modes.</w:t>
            </w:r>
          </w:p>
          <w:p w:rsidR="009D278E" w:rsidRPr="001A2A6D" w:rsidRDefault="009D278E" w:rsidP="001A2A6D">
            <w:pPr>
              <w:ind w:left="346" w:hanging="346"/>
              <w:rPr>
                <w:b/>
                <w:color w:val="auto"/>
                <w:sz w:val="20"/>
                <w:szCs w:val="20"/>
              </w:rPr>
            </w:pPr>
          </w:p>
          <w:p w:rsidR="00C72D8C" w:rsidRDefault="00C72D8C" w:rsidP="00064C77">
            <w:pPr>
              <w:rPr>
                <w:b/>
                <w:sz w:val="20"/>
                <w:szCs w:val="20"/>
              </w:rPr>
            </w:pPr>
          </w:p>
          <w:p w:rsidR="00C72D8C" w:rsidRDefault="00C72D8C" w:rsidP="00064C77">
            <w:pPr>
              <w:rPr>
                <w:b/>
                <w:sz w:val="20"/>
                <w:szCs w:val="20"/>
              </w:rPr>
            </w:pPr>
          </w:p>
          <w:p w:rsidR="00C72D8C" w:rsidRDefault="00C72D8C" w:rsidP="00064C77">
            <w:pPr>
              <w:rPr>
                <w:b/>
                <w:sz w:val="20"/>
                <w:szCs w:val="20"/>
              </w:rPr>
            </w:pPr>
          </w:p>
          <w:p w:rsidR="009D278E" w:rsidRDefault="009D278E" w:rsidP="00064C77">
            <w:pPr>
              <w:rPr>
                <w:b/>
                <w:sz w:val="20"/>
                <w:szCs w:val="20"/>
              </w:rPr>
            </w:pPr>
          </w:p>
          <w:p w:rsidR="00C72D8C" w:rsidRDefault="00C72D8C" w:rsidP="00064C77">
            <w:pPr>
              <w:rPr>
                <w:b/>
                <w:sz w:val="20"/>
                <w:szCs w:val="20"/>
              </w:rPr>
            </w:pPr>
          </w:p>
          <w:p w:rsidR="00C72D8C" w:rsidRPr="00066928" w:rsidRDefault="00C72D8C" w:rsidP="00064C77">
            <w:pPr>
              <w:rPr>
                <w:b/>
                <w:sz w:val="20"/>
                <w:szCs w:val="20"/>
              </w:rPr>
            </w:pPr>
          </w:p>
          <w:p w:rsidR="009D278E" w:rsidRPr="00066928" w:rsidRDefault="009D278E" w:rsidP="001A2A6D">
            <w:pPr>
              <w:ind w:hanging="14"/>
              <w:rPr>
                <w:b/>
                <w:sz w:val="20"/>
                <w:szCs w:val="20"/>
              </w:rPr>
            </w:pPr>
          </w:p>
          <w:p w:rsidR="009D278E" w:rsidRDefault="009D278E" w:rsidP="001A2A6D">
            <w:pPr>
              <w:pStyle w:val="ListParagraph"/>
              <w:numPr>
                <w:ilvl w:val="0"/>
                <w:numId w:val="45"/>
              </w:numPr>
              <w:ind w:left="346" w:hanging="346"/>
              <w:rPr>
                <w:b/>
                <w:sz w:val="20"/>
                <w:szCs w:val="20"/>
              </w:rPr>
            </w:pPr>
            <w:r>
              <w:rPr>
                <w:b/>
                <w:sz w:val="20"/>
                <w:szCs w:val="20"/>
              </w:rPr>
              <w:t xml:space="preserve">Identify, </w:t>
            </w:r>
            <w:r w:rsidRPr="001A2A6D">
              <w:rPr>
                <w:b/>
                <w:color w:val="auto"/>
                <w:sz w:val="20"/>
                <w:szCs w:val="20"/>
              </w:rPr>
              <w:t xml:space="preserve">disseminate, and implement  effective equity-minded guided </w:t>
            </w:r>
            <w:r w:rsidRPr="00066928">
              <w:rPr>
                <w:b/>
                <w:sz w:val="20"/>
                <w:szCs w:val="20"/>
              </w:rPr>
              <w:t>pathways onramps for underserved populations that help students earn a HS diploma and/or transition to college-level coursework</w:t>
            </w:r>
          </w:p>
          <w:p w:rsidR="009D278E" w:rsidRDefault="009D278E" w:rsidP="009D278E">
            <w:pPr>
              <w:rPr>
                <w:b/>
                <w:sz w:val="20"/>
                <w:szCs w:val="20"/>
              </w:rPr>
            </w:pPr>
          </w:p>
          <w:p w:rsidR="009D278E" w:rsidRDefault="009D278E" w:rsidP="009D278E">
            <w:pPr>
              <w:rPr>
                <w:b/>
                <w:sz w:val="20"/>
                <w:szCs w:val="20"/>
              </w:rPr>
            </w:pPr>
          </w:p>
          <w:p w:rsidR="001A2A6D" w:rsidRDefault="001A2A6D" w:rsidP="009D278E">
            <w:pPr>
              <w:rPr>
                <w:b/>
                <w:sz w:val="20"/>
                <w:szCs w:val="20"/>
              </w:rPr>
            </w:pPr>
          </w:p>
          <w:p w:rsidR="009D278E" w:rsidRPr="001A2A6D" w:rsidRDefault="009D278E" w:rsidP="001A2A6D">
            <w:pPr>
              <w:pStyle w:val="ListParagraph"/>
              <w:numPr>
                <w:ilvl w:val="0"/>
                <w:numId w:val="45"/>
              </w:numPr>
              <w:ind w:left="256" w:hanging="270"/>
              <w:rPr>
                <w:b/>
                <w:sz w:val="20"/>
                <w:szCs w:val="20"/>
              </w:rPr>
            </w:pPr>
            <w:r w:rsidRPr="001A2A6D">
              <w:rPr>
                <w:b/>
                <w:sz w:val="20"/>
                <w:szCs w:val="20"/>
              </w:rPr>
              <w:t xml:space="preserve">Identify, </w:t>
            </w:r>
            <w:r w:rsidRPr="001A2A6D">
              <w:rPr>
                <w:b/>
                <w:color w:val="auto"/>
                <w:sz w:val="20"/>
                <w:szCs w:val="20"/>
              </w:rPr>
              <w:t xml:space="preserve">disseminate, and </w:t>
            </w:r>
            <w:r w:rsidR="001A2A6D" w:rsidRPr="001A2A6D">
              <w:rPr>
                <w:b/>
                <w:color w:val="auto"/>
                <w:sz w:val="20"/>
                <w:szCs w:val="20"/>
              </w:rPr>
              <w:t>implement effective</w:t>
            </w:r>
            <w:r w:rsidRPr="001A2A6D">
              <w:rPr>
                <w:b/>
                <w:color w:val="auto"/>
                <w:sz w:val="20"/>
                <w:szCs w:val="20"/>
              </w:rPr>
              <w:t xml:space="preserve"> equity-minded marketing and </w:t>
            </w:r>
            <w:r w:rsidRPr="001A2A6D">
              <w:rPr>
                <w:b/>
                <w:sz w:val="20"/>
                <w:szCs w:val="20"/>
              </w:rPr>
              <w:t>outreach practices that reach underserved populations, and disseminate them system-wide.</w:t>
            </w:r>
          </w:p>
          <w:p w:rsidR="009D278E" w:rsidRPr="009D278E" w:rsidRDefault="009D278E" w:rsidP="009D278E">
            <w:pPr>
              <w:rPr>
                <w:b/>
                <w:sz w:val="20"/>
                <w:szCs w:val="20"/>
              </w:rPr>
            </w:pPr>
          </w:p>
        </w:tc>
        <w:tc>
          <w:tcPr>
            <w:tcW w:w="3330" w:type="dxa"/>
            <w:shd w:val="clear" w:color="auto" w:fill="FDE9D9" w:themeFill="accent6" w:themeFillTint="33"/>
          </w:tcPr>
          <w:p w:rsidR="009D278E" w:rsidRPr="00C82586" w:rsidRDefault="009D278E" w:rsidP="00064C77">
            <w:pPr>
              <w:rPr>
                <w:b/>
                <w:i/>
                <w:sz w:val="20"/>
                <w:szCs w:val="20"/>
              </w:rPr>
            </w:pPr>
            <w:r w:rsidRPr="00C82586">
              <w:rPr>
                <w:b/>
                <w:i/>
                <w:sz w:val="20"/>
                <w:szCs w:val="20"/>
              </w:rPr>
              <w:t>Workforce Education Council, Washington Student Achievement Council (WSAC)’s Adult Reengagement initiatives</w:t>
            </w:r>
          </w:p>
          <w:p w:rsidR="009D278E" w:rsidRPr="00066928" w:rsidRDefault="009D278E" w:rsidP="00064C77">
            <w:pPr>
              <w:rPr>
                <w:b/>
                <w:sz w:val="20"/>
                <w:szCs w:val="20"/>
              </w:rPr>
            </w:pPr>
          </w:p>
          <w:p w:rsidR="009D278E" w:rsidRPr="00C82586" w:rsidRDefault="009D278E" w:rsidP="00C82586">
            <w:pPr>
              <w:pStyle w:val="NormalWeb"/>
              <w:pBdr>
                <w:top w:val="nil"/>
                <w:left w:val="nil"/>
                <w:bottom w:val="nil"/>
                <w:right w:val="nil"/>
                <w:between w:val="nil"/>
              </w:pBdr>
              <w:spacing w:before="0" w:beforeAutospacing="0" w:after="0" w:afterAutospacing="0"/>
              <w:rPr>
                <w:rFonts w:ascii="Calibri" w:eastAsia="Calibri" w:hAnsi="Calibri" w:cs="Calibri"/>
                <w:b/>
                <w:color w:val="4F6228" w:themeColor="accent3" w:themeShade="80"/>
                <w:sz w:val="20"/>
                <w:szCs w:val="20"/>
              </w:rPr>
            </w:pPr>
            <w:r w:rsidRPr="00C82586">
              <w:rPr>
                <w:rFonts w:ascii="Calibri" w:eastAsia="Calibri" w:hAnsi="Calibri" w:cs="Calibri"/>
                <w:b/>
                <w:color w:val="4F6228" w:themeColor="accent3" w:themeShade="80"/>
                <w:sz w:val="20"/>
                <w:szCs w:val="20"/>
              </w:rPr>
              <w:t xml:space="preserve">TIMELINE: </w:t>
            </w:r>
            <w:r w:rsidRPr="00C82586">
              <w:rPr>
                <w:rFonts w:ascii="Calibri" w:eastAsia="Calibri" w:hAnsi="Calibri" w:cs="Calibri"/>
                <w:b/>
                <w:color w:val="4F6228" w:themeColor="accent3" w:themeShade="80"/>
                <w:sz w:val="20"/>
                <w:szCs w:val="20"/>
              </w:rPr>
              <w:t>2018-19 through Commission/Council Workplans</w:t>
            </w:r>
          </w:p>
          <w:p w:rsidR="009D278E" w:rsidRDefault="009D278E" w:rsidP="00064C77">
            <w:pPr>
              <w:rPr>
                <w:b/>
                <w:sz w:val="20"/>
                <w:szCs w:val="20"/>
              </w:rPr>
            </w:pPr>
          </w:p>
          <w:p w:rsidR="009D278E" w:rsidRDefault="009D278E" w:rsidP="00064C77">
            <w:pPr>
              <w:rPr>
                <w:b/>
                <w:sz w:val="20"/>
                <w:szCs w:val="20"/>
              </w:rPr>
            </w:pPr>
          </w:p>
          <w:p w:rsidR="009D278E" w:rsidRDefault="009D278E" w:rsidP="00064C77">
            <w:pPr>
              <w:rPr>
                <w:b/>
                <w:sz w:val="20"/>
                <w:szCs w:val="20"/>
              </w:rPr>
            </w:pPr>
          </w:p>
          <w:p w:rsidR="00C72D8C" w:rsidRDefault="00C72D8C" w:rsidP="00064C77">
            <w:pPr>
              <w:rPr>
                <w:b/>
                <w:sz w:val="20"/>
                <w:szCs w:val="20"/>
              </w:rPr>
            </w:pPr>
          </w:p>
          <w:p w:rsidR="00C72D8C" w:rsidRDefault="00C72D8C" w:rsidP="00064C77">
            <w:pPr>
              <w:rPr>
                <w:b/>
                <w:sz w:val="20"/>
                <w:szCs w:val="20"/>
              </w:rPr>
            </w:pPr>
          </w:p>
          <w:p w:rsidR="00C72D8C" w:rsidRDefault="00C72D8C" w:rsidP="00064C77">
            <w:pPr>
              <w:rPr>
                <w:b/>
                <w:sz w:val="20"/>
                <w:szCs w:val="20"/>
              </w:rPr>
            </w:pPr>
          </w:p>
          <w:p w:rsidR="00C72D8C" w:rsidRDefault="00C72D8C" w:rsidP="00064C77">
            <w:pPr>
              <w:rPr>
                <w:b/>
                <w:sz w:val="20"/>
                <w:szCs w:val="20"/>
              </w:rPr>
            </w:pPr>
          </w:p>
          <w:p w:rsidR="00C72D8C" w:rsidRDefault="00C72D8C" w:rsidP="00064C77">
            <w:pPr>
              <w:rPr>
                <w:b/>
                <w:sz w:val="20"/>
                <w:szCs w:val="20"/>
              </w:rPr>
            </w:pPr>
          </w:p>
          <w:p w:rsidR="009D278E" w:rsidRPr="00066928" w:rsidRDefault="009D278E" w:rsidP="00064C77">
            <w:pPr>
              <w:rPr>
                <w:b/>
                <w:sz w:val="20"/>
                <w:szCs w:val="20"/>
              </w:rPr>
            </w:pPr>
          </w:p>
          <w:p w:rsidR="009D278E" w:rsidRPr="00C82586" w:rsidRDefault="009D278E" w:rsidP="00064C77">
            <w:pPr>
              <w:rPr>
                <w:b/>
                <w:i/>
                <w:sz w:val="20"/>
                <w:szCs w:val="20"/>
              </w:rPr>
            </w:pPr>
            <w:r w:rsidRPr="00C82586">
              <w:rPr>
                <w:b/>
                <w:i/>
                <w:sz w:val="20"/>
                <w:szCs w:val="20"/>
              </w:rPr>
              <w:t>Council for Basic Skills (CBS)</w:t>
            </w:r>
          </w:p>
          <w:p w:rsidR="009D278E" w:rsidRDefault="009D278E" w:rsidP="00064C77">
            <w:pPr>
              <w:rPr>
                <w:b/>
                <w:sz w:val="20"/>
                <w:szCs w:val="20"/>
              </w:rPr>
            </w:pPr>
          </w:p>
          <w:p w:rsidR="009D278E" w:rsidRPr="00C82586" w:rsidRDefault="009D278E" w:rsidP="00C82586">
            <w:pPr>
              <w:pStyle w:val="NormalWeb"/>
              <w:pBdr>
                <w:top w:val="nil"/>
                <w:left w:val="nil"/>
                <w:bottom w:val="nil"/>
                <w:right w:val="nil"/>
                <w:between w:val="nil"/>
              </w:pBdr>
              <w:spacing w:before="0" w:beforeAutospacing="0" w:after="0" w:afterAutospacing="0"/>
              <w:rPr>
                <w:rFonts w:ascii="Calibri" w:eastAsia="Calibri" w:hAnsi="Calibri" w:cs="Calibri"/>
                <w:b/>
                <w:color w:val="4F6228" w:themeColor="accent3" w:themeShade="80"/>
                <w:sz w:val="20"/>
                <w:szCs w:val="20"/>
              </w:rPr>
            </w:pPr>
            <w:r w:rsidRPr="00C82586">
              <w:rPr>
                <w:rFonts w:ascii="Calibri" w:eastAsia="Calibri" w:hAnsi="Calibri" w:cs="Calibri"/>
                <w:b/>
                <w:color w:val="4F6228" w:themeColor="accent3" w:themeShade="80"/>
                <w:sz w:val="20"/>
                <w:szCs w:val="20"/>
              </w:rPr>
              <w:t>TIMELINE</w:t>
            </w:r>
            <w:r w:rsidRPr="00C82586">
              <w:rPr>
                <w:rFonts w:ascii="Calibri" w:eastAsia="Calibri" w:hAnsi="Calibri" w:cs="Calibri"/>
                <w:b/>
                <w:color w:val="4F6228" w:themeColor="accent3" w:themeShade="80"/>
                <w:sz w:val="20"/>
                <w:szCs w:val="20"/>
              </w:rPr>
              <w:t>: 2018-19 through Commission/Council Workplans</w:t>
            </w:r>
          </w:p>
          <w:p w:rsidR="009D278E" w:rsidRPr="00C82586" w:rsidRDefault="009D278E" w:rsidP="00C82586">
            <w:pPr>
              <w:pStyle w:val="NormalWeb"/>
              <w:pBdr>
                <w:top w:val="nil"/>
                <w:left w:val="nil"/>
                <w:bottom w:val="nil"/>
                <w:right w:val="nil"/>
                <w:between w:val="nil"/>
              </w:pBdr>
              <w:spacing w:before="0" w:beforeAutospacing="0" w:after="0" w:afterAutospacing="0"/>
              <w:rPr>
                <w:rFonts w:ascii="Calibri" w:eastAsia="Calibri" w:hAnsi="Calibri" w:cs="Calibri"/>
                <w:b/>
                <w:color w:val="4F6228" w:themeColor="accent3" w:themeShade="80"/>
                <w:sz w:val="20"/>
                <w:szCs w:val="20"/>
              </w:rPr>
            </w:pPr>
          </w:p>
          <w:p w:rsidR="009D278E" w:rsidRDefault="009D278E" w:rsidP="00064C77">
            <w:pPr>
              <w:rPr>
                <w:b/>
                <w:i/>
                <w:sz w:val="20"/>
                <w:szCs w:val="20"/>
              </w:rPr>
            </w:pPr>
          </w:p>
          <w:p w:rsidR="009D278E" w:rsidRDefault="009D278E" w:rsidP="00064C77">
            <w:pPr>
              <w:rPr>
                <w:b/>
                <w:i/>
                <w:sz w:val="20"/>
                <w:szCs w:val="20"/>
              </w:rPr>
            </w:pPr>
          </w:p>
          <w:p w:rsidR="009D278E" w:rsidRDefault="009D278E" w:rsidP="00064C77">
            <w:pPr>
              <w:rPr>
                <w:b/>
                <w:i/>
                <w:sz w:val="20"/>
                <w:szCs w:val="20"/>
              </w:rPr>
            </w:pPr>
          </w:p>
          <w:p w:rsidR="009D278E" w:rsidRDefault="009D278E" w:rsidP="00064C77">
            <w:pPr>
              <w:rPr>
                <w:b/>
                <w:i/>
                <w:sz w:val="20"/>
                <w:szCs w:val="20"/>
              </w:rPr>
            </w:pPr>
          </w:p>
          <w:p w:rsidR="009D278E" w:rsidRPr="00C82586" w:rsidRDefault="009D278E" w:rsidP="009D278E">
            <w:pPr>
              <w:pStyle w:val="PlainText"/>
              <w:tabs>
                <w:tab w:val="left" w:pos="1440"/>
              </w:tabs>
              <w:rPr>
                <w:rFonts w:eastAsia="Calibri" w:cs="Calibri"/>
                <w:b/>
                <w:i/>
                <w:color w:val="000000"/>
                <w:sz w:val="20"/>
                <w:szCs w:val="20"/>
              </w:rPr>
            </w:pPr>
            <w:r w:rsidRPr="00C82586">
              <w:rPr>
                <w:rFonts w:eastAsia="Calibri" w:cs="Calibri"/>
                <w:b/>
                <w:i/>
                <w:color w:val="000000"/>
                <w:sz w:val="20"/>
                <w:szCs w:val="20"/>
              </w:rPr>
              <w:lastRenderedPageBreak/>
              <w:t>Public Information Commission (PIC), Admissions and Registrations Council (ARC), outreach directors</w:t>
            </w:r>
          </w:p>
          <w:p w:rsidR="009D278E" w:rsidRPr="00C82586" w:rsidRDefault="009D278E" w:rsidP="009D278E">
            <w:pPr>
              <w:pStyle w:val="PlainText"/>
              <w:tabs>
                <w:tab w:val="left" w:pos="1440"/>
              </w:tabs>
              <w:rPr>
                <w:rFonts w:eastAsia="Calibri" w:cs="Calibri"/>
                <w:b/>
                <w:i/>
                <w:color w:val="000000"/>
                <w:sz w:val="20"/>
                <w:szCs w:val="20"/>
              </w:rPr>
            </w:pPr>
          </w:p>
          <w:p w:rsidR="009D278E" w:rsidRPr="00C82586" w:rsidRDefault="009D278E" w:rsidP="00C82586">
            <w:pPr>
              <w:pStyle w:val="NormalWeb"/>
              <w:spacing w:before="0" w:beforeAutospacing="0" w:after="0" w:afterAutospacing="0"/>
              <w:rPr>
                <w:rFonts w:ascii="Calibri" w:eastAsia="Calibri" w:hAnsi="Calibri" w:cs="Calibri"/>
                <w:b/>
                <w:color w:val="4F6228" w:themeColor="accent3" w:themeShade="80"/>
                <w:sz w:val="20"/>
                <w:szCs w:val="20"/>
              </w:rPr>
            </w:pPr>
            <w:r w:rsidRPr="00C82586">
              <w:rPr>
                <w:rFonts w:ascii="Calibri" w:eastAsia="Calibri" w:hAnsi="Calibri" w:cs="Calibri"/>
                <w:b/>
                <w:color w:val="4F6228" w:themeColor="accent3" w:themeShade="80"/>
                <w:sz w:val="20"/>
                <w:szCs w:val="20"/>
              </w:rPr>
              <w:t>T</w:t>
            </w:r>
            <w:r w:rsidR="00C82586">
              <w:rPr>
                <w:rFonts w:ascii="Calibri" w:eastAsia="Calibri" w:hAnsi="Calibri" w:cs="Calibri"/>
                <w:b/>
                <w:color w:val="4F6228" w:themeColor="accent3" w:themeShade="80"/>
                <w:sz w:val="20"/>
                <w:szCs w:val="20"/>
              </w:rPr>
              <w:t>IMELINE</w:t>
            </w:r>
            <w:r w:rsidRPr="00C82586">
              <w:rPr>
                <w:rFonts w:ascii="Calibri" w:eastAsia="Calibri" w:hAnsi="Calibri" w:cs="Calibri"/>
                <w:b/>
                <w:color w:val="4F6228" w:themeColor="accent3" w:themeShade="80"/>
                <w:sz w:val="20"/>
                <w:szCs w:val="20"/>
              </w:rPr>
              <w:t xml:space="preserve">: </w:t>
            </w:r>
          </w:p>
          <w:p w:rsidR="009D278E" w:rsidRPr="00C82586" w:rsidRDefault="009D278E" w:rsidP="00C82586">
            <w:pPr>
              <w:pStyle w:val="NormalWeb"/>
              <w:spacing w:before="0" w:beforeAutospacing="0" w:after="0" w:afterAutospacing="0"/>
              <w:rPr>
                <w:rFonts w:ascii="Calibri" w:eastAsia="Calibri" w:hAnsi="Calibri" w:cs="Calibri"/>
                <w:b/>
                <w:color w:val="4F6228" w:themeColor="accent3" w:themeShade="80"/>
                <w:sz w:val="20"/>
                <w:szCs w:val="20"/>
              </w:rPr>
            </w:pPr>
            <w:r w:rsidRPr="00C82586">
              <w:rPr>
                <w:rFonts w:ascii="Calibri" w:eastAsia="Calibri" w:hAnsi="Calibri" w:cs="Calibri"/>
                <w:b/>
                <w:color w:val="4F6228" w:themeColor="accent3" w:themeShade="80"/>
                <w:sz w:val="20"/>
                <w:szCs w:val="20"/>
              </w:rPr>
              <w:t>2018-19 through Commission/Council Workplans</w:t>
            </w:r>
          </w:p>
          <w:p w:rsidR="009D278E" w:rsidRPr="00066928" w:rsidRDefault="009D278E" w:rsidP="00064C77">
            <w:pPr>
              <w:rPr>
                <w:b/>
                <w:i/>
                <w:sz w:val="20"/>
                <w:szCs w:val="20"/>
              </w:rPr>
            </w:pPr>
          </w:p>
        </w:tc>
      </w:tr>
      <w:tr w:rsidR="009D278E" w:rsidRPr="00066928" w:rsidTr="001A2A6D">
        <w:trPr>
          <w:trHeight w:val="4238"/>
        </w:trPr>
        <w:tc>
          <w:tcPr>
            <w:tcW w:w="1800" w:type="dxa"/>
            <w:tcBorders>
              <w:top w:val="nil"/>
              <w:bottom w:val="single" w:sz="4" w:space="0" w:color="000000"/>
            </w:tcBorders>
          </w:tcPr>
          <w:p w:rsidR="009D278E" w:rsidRPr="00066928" w:rsidRDefault="009D278E" w:rsidP="00064C77">
            <w:pPr>
              <w:rPr>
                <w:b/>
                <w:sz w:val="20"/>
                <w:szCs w:val="20"/>
              </w:rPr>
            </w:pPr>
          </w:p>
        </w:tc>
        <w:tc>
          <w:tcPr>
            <w:tcW w:w="1800" w:type="dxa"/>
            <w:shd w:val="clear" w:color="auto" w:fill="DBE5F1" w:themeFill="accent1" w:themeFillTint="33"/>
          </w:tcPr>
          <w:p w:rsidR="009D278E" w:rsidRPr="00C82586" w:rsidRDefault="009D278E" w:rsidP="00064C77">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rPr>
                <w:b/>
                <w:color w:val="5F497A" w:themeColor="accent4" w:themeShade="BF"/>
                <w:sz w:val="20"/>
                <w:szCs w:val="20"/>
              </w:rPr>
            </w:pPr>
            <w:r w:rsidRPr="00C82586">
              <w:rPr>
                <w:b/>
                <w:color w:val="5F497A" w:themeColor="accent4" w:themeShade="BF"/>
                <w:sz w:val="20"/>
                <w:szCs w:val="20"/>
              </w:rPr>
              <w:t xml:space="preserve">Increase enrollment to close the equity gap for adult reengagement for students who some college credits. </w:t>
            </w:r>
          </w:p>
          <w:p w:rsidR="009D278E" w:rsidRPr="00066928" w:rsidRDefault="009D278E" w:rsidP="001A2A6D">
            <w:pPr>
              <w:rPr>
                <w:sz w:val="20"/>
                <w:szCs w:val="20"/>
              </w:rPr>
            </w:pPr>
          </w:p>
        </w:tc>
        <w:tc>
          <w:tcPr>
            <w:tcW w:w="2970" w:type="dxa"/>
            <w:shd w:val="clear" w:color="auto" w:fill="EEECE1" w:themeFill="background2"/>
          </w:tcPr>
          <w:p w:rsidR="009D278E" w:rsidRDefault="009D278E" w:rsidP="00064C77">
            <w:pPr>
              <w:pStyle w:val="ListParagraph"/>
              <w:numPr>
                <w:ilvl w:val="0"/>
                <w:numId w:val="28"/>
              </w:numPr>
              <w:ind w:left="166" w:hanging="180"/>
              <w:rPr>
                <w:sz w:val="20"/>
                <w:szCs w:val="20"/>
              </w:rPr>
            </w:pPr>
            <w:r w:rsidRPr="00066928">
              <w:rPr>
                <w:sz w:val="20"/>
                <w:szCs w:val="20"/>
              </w:rPr>
              <w:t>Approximately 330,000 25-44 year olds in the state with at least some college and a household income under $50,000 a year.</w:t>
            </w:r>
          </w:p>
          <w:p w:rsidR="009D278E" w:rsidRDefault="009D278E" w:rsidP="005F1172">
            <w:pPr>
              <w:rPr>
                <w:sz w:val="20"/>
                <w:szCs w:val="20"/>
              </w:rPr>
            </w:pPr>
          </w:p>
          <w:p w:rsidR="009D278E" w:rsidRDefault="009D278E" w:rsidP="005F1172">
            <w:pPr>
              <w:rPr>
                <w:sz w:val="20"/>
                <w:szCs w:val="20"/>
              </w:rPr>
            </w:pPr>
          </w:p>
          <w:p w:rsidR="009D278E" w:rsidRDefault="009D278E" w:rsidP="005F1172">
            <w:pPr>
              <w:rPr>
                <w:sz w:val="20"/>
                <w:szCs w:val="20"/>
              </w:rPr>
            </w:pPr>
            <w:r>
              <w:rPr>
                <w:sz w:val="20"/>
                <w:szCs w:val="20"/>
              </w:rPr>
              <w:t>Possible Metrics (c):</w:t>
            </w:r>
          </w:p>
          <w:p w:rsidR="009D278E" w:rsidRPr="001A2A6D" w:rsidRDefault="009D278E" w:rsidP="005F1172">
            <w:pPr>
              <w:pStyle w:val="PlainText"/>
              <w:tabs>
                <w:tab w:val="left" w:pos="1440"/>
              </w:tabs>
              <w:rPr>
                <w:rFonts w:eastAsia="Calibri" w:cs="Calibri"/>
                <w:sz w:val="20"/>
                <w:szCs w:val="20"/>
              </w:rPr>
            </w:pPr>
            <w:r w:rsidRPr="001A2A6D">
              <w:rPr>
                <w:rFonts w:eastAsia="Calibri" w:cs="Calibri"/>
                <w:sz w:val="20"/>
                <w:szCs w:val="20"/>
              </w:rPr>
              <w:t>How do we know if the practices are equity minded? Do we need outside review/prof. dev?</w:t>
            </w:r>
          </w:p>
          <w:p w:rsidR="009D278E" w:rsidRPr="001A2A6D" w:rsidRDefault="009D278E" w:rsidP="005F1172">
            <w:pPr>
              <w:pStyle w:val="PlainText"/>
              <w:tabs>
                <w:tab w:val="left" w:pos="1440"/>
              </w:tabs>
              <w:rPr>
                <w:rFonts w:eastAsia="Calibri" w:cs="Calibri"/>
                <w:sz w:val="20"/>
                <w:szCs w:val="20"/>
              </w:rPr>
            </w:pPr>
          </w:p>
          <w:p w:rsidR="009D278E" w:rsidRPr="001A2A6D" w:rsidRDefault="009D278E" w:rsidP="00C72D8C">
            <w:pPr>
              <w:rPr>
                <w:color w:val="auto"/>
                <w:sz w:val="20"/>
                <w:szCs w:val="20"/>
              </w:rPr>
            </w:pPr>
            <w:r w:rsidRPr="001A2A6D">
              <w:rPr>
                <w:color w:val="auto"/>
                <w:sz w:val="20"/>
                <w:szCs w:val="20"/>
              </w:rPr>
              <w:t>Possible Metrics (</w:t>
            </w:r>
            <w:r w:rsidRPr="001A2A6D">
              <w:rPr>
                <w:color w:val="auto"/>
                <w:sz w:val="20"/>
                <w:szCs w:val="20"/>
              </w:rPr>
              <w:t>d</w:t>
            </w:r>
            <w:r w:rsidRPr="001A2A6D">
              <w:rPr>
                <w:color w:val="auto"/>
                <w:sz w:val="20"/>
                <w:szCs w:val="20"/>
              </w:rPr>
              <w:t>)</w:t>
            </w:r>
            <w:r w:rsidR="00C72D8C" w:rsidRPr="001A2A6D">
              <w:rPr>
                <w:color w:val="auto"/>
                <w:sz w:val="20"/>
                <w:szCs w:val="20"/>
              </w:rPr>
              <w:t>:</w:t>
            </w:r>
          </w:p>
          <w:p w:rsidR="009D278E" w:rsidRPr="001A2A6D" w:rsidRDefault="009D278E" w:rsidP="005F1172">
            <w:pPr>
              <w:pStyle w:val="PlainText"/>
              <w:tabs>
                <w:tab w:val="left" w:pos="1440"/>
              </w:tabs>
              <w:rPr>
                <w:rFonts w:eastAsia="Calibri" w:cs="Calibri"/>
                <w:sz w:val="20"/>
                <w:szCs w:val="20"/>
              </w:rPr>
            </w:pPr>
            <w:r w:rsidRPr="001A2A6D">
              <w:rPr>
                <w:rFonts w:eastAsia="Calibri" w:cs="Calibri"/>
                <w:sz w:val="20"/>
                <w:szCs w:val="20"/>
              </w:rPr>
              <w:t xml:space="preserve">“Hits” </w:t>
            </w:r>
          </w:p>
          <w:p w:rsidR="009D278E" w:rsidRPr="001A2A6D" w:rsidRDefault="009D278E" w:rsidP="005F1172">
            <w:pPr>
              <w:pStyle w:val="PlainText"/>
              <w:tabs>
                <w:tab w:val="left" w:pos="1440"/>
              </w:tabs>
              <w:rPr>
                <w:rFonts w:eastAsia="Calibri" w:cs="Calibri"/>
                <w:sz w:val="20"/>
                <w:szCs w:val="20"/>
              </w:rPr>
            </w:pPr>
            <w:r w:rsidRPr="001A2A6D">
              <w:rPr>
                <w:rFonts w:eastAsia="Calibri" w:cs="Calibri"/>
                <w:sz w:val="20"/>
                <w:szCs w:val="20"/>
              </w:rPr>
              <w:t>Surveys</w:t>
            </w:r>
          </w:p>
          <w:p w:rsidR="009D278E" w:rsidRPr="001A2A6D" w:rsidRDefault="009D278E" w:rsidP="001A2A6D">
            <w:pPr>
              <w:pStyle w:val="PlainText"/>
              <w:tabs>
                <w:tab w:val="left" w:pos="1440"/>
              </w:tabs>
              <w:rPr>
                <w:rFonts w:eastAsia="Calibri" w:cs="Calibri"/>
                <w:sz w:val="20"/>
                <w:szCs w:val="20"/>
              </w:rPr>
            </w:pPr>
            <w:r w:rsidRPr="001A2A6D">
              <w:rPr>
                <w:rFonts w:eastAsia="Calibri" w:cs="Calibri"/>
                <w:sz w:val="20"/>
                <w:szCs w:val="20"/>
              </w:rPr>
              <w:t>CRM data demonstrating that a hit led to enrollment</w:t>
            </w:r>
          </w:p>
        </w:tc>
        <w:tc>
          <w:tcPr>
            <w:tcW w:w="4320" w:type="dxa"/>
            <w:tcBorders>
              <w:top w:val="nil"/>
            </w:tcBorders>
            <w:shd w:val="clear" w:color="auto" w:fill="FDE9D9" w:themeFill="accent6" w:themeFillTint="33"/>
          </w:tcPr>
          <w:p w:rsidR="009D278E" w:rsidRPr="00066928" w:rsidRDefault="009D278E" w:rsidP="00064C77">
            <w:pPr>
              <w:rPr>
                <w:b/>
                <w:i/>
                <w:sz w:val="20"/>
                <w:szCs w:val="20"/>
              </w:rPr>
            </w:pPr>
          </w:p>
          <w:p w:rsidR="009D278E" w:rsidRPr="00066928" w:rsidRDefault="009D278E" w:rsidP="00064C77">
            <w:pPr>
              <w:rPr>
                <w:b/>
                <w:i/>
                <w:sz w:val="20"/>
                <w:szCs w:val="20"/>
              </w:rPr>
            </w:pPr>
          </w:p>
          <w:p w:rsidR="009D278E" w:rsidRPr="009D278E" w:rsidRDefault="009D278E" w:rsidP="001A2A6D">
            <w:pPr>
              <w:pStyle w:val="ListParagraph"/>
              <w:numPr>
                <w:ilvl w:val="0"/>
                <w:numId w:val="45"/>
              </w:numPr>
              <w:ind w:left="256" w:hanging="256"/>
              <w:rPr>
                <w:b/>
                <w:sz w:val="20"/>
                <w:szCs w:val="20"/>
              </w:rPr>
            </w:pPr>
            <w:r w:rsidRPr="005F1172">
              <w:rPr>
                <w:b/>
                <w:sz w:val="20"/>
                <w:szCs w:val="20"/>
              </w:rPr>
              <w:t>Develop a statewide equity-minded awareness campaign to reach community members who ‘stopped out’ during high school or after high school completion to address the value of a postsecondary credential</w:t>
            </w:r>
            <w:r>
              <w:rPr>
                <w:b/>
                <w:sz w:val="20"/>
                <w:szCs w:val="20"/>
              </w:rPr>
              <w:t>. (</w:t>
            </w:r>
            <w:r w:rsidRPr="009D278E">
              <w:rPr>
                <w:b/>
                <w:sz w:val="20"/>
                <w:szCs w:val="20"/>
              </w:rPr>
              <w:t>survey data by be available from Katie Rose at SBCTC.</w:t>
            </w:r>
            <w:r>
              <w:rPr>
                <w:b/>
                <w:sz w:val="20"/>
                <w:szCs w:val="20"/>
              </w:rPr>
              <w:t>)</w:t>
            </w:r>
          </w:p>
          <w:p w:rsidR="009D278E" w:rsidRDefault="009D278E" w:rsidP="001A2A6D">
            <w:pPr>
              <w:ind w:left="256" w:hanging="256"/>
              <w:rPr>
                <w:b/>
                <w:sz w:val="20"/>
                <w:szCs w:val="20"/>
              </w:rPr>
            </w:pPr>
          </w:p>
          <w:p w:rsidR="009D278E" w:rsidRDefault="009D278E" w:rsidP="005B771E">
            <w:pPr>
              <w:rPr>
                <w:b/>
              </w:rPr>
            </w:pPr>
          </w:p>
          <w:p w:rsidR="009D278E" w:rsidRDefault="009D278E" w:rsidP="005B771E">
            <w:pPr>
              <w:rPr>
                <w:b/>
              </w:rPr>
            </w:pPr>
          </w:p>
          <w:p w:rsidR="009D278E" w:rsidRPr="001A2A6D" w:rsidRDefault="009D278E" w:rsidP="00064C77">
            <w:pPr>
              <w:rPr>
                <w:b/>
              </w:rPr>
            </w:pPr>
            <w:r w:rsidRPr="00094682">
              <w:rPr>
                <w:b/>
              </w:rPr>
              <w:t>Note: no horizontal line is needed in this cell—all 4 strategies to be used for both 2.1 and 2.2 Objectives</w:t>
            </w:r>
          </w:p>
        </w:tc>
        <w:tc>
          <w:tcPr>
            <w:tcW w:w="3330" w:type="dxa"/>
            <w:shd w:val="clear" w:color="auto" w:fill="FDE9D9" w:themeFill="accent6" w:themeFillTint="33"/>
          </w:tcPr>
          <w:p w:rsidR="009D278E" w:rsidRPr="00066928" w:rsidRDefault="009D278E" w:rsidP="00064C77">
            <w:pPr>
              <w:pStyle w:val="PlainText"/>
              <w:tabs>
                <w:tab w:val="left" w:pos="1440"/>
              </w:tabs>
              <w:rPr>
                <w:rFonts w:eastAsia="Calibri" w:cs="Calibri"/>
                <w:b/>
                <w:color w:val="000000"/>
                <w:sz w:val="20"/>
                <w:szCs w:val="20"/>
              </w:rPr>
            </w:pPr>
          </w:p>
          <w:p w:rsidR="009D278E" w:rsidRPr="00066928" w:rsidRDefault="009D278E" w:rsidP="00064C77">
            <w:pPr>
              <w:pStyle w:val="PlainText"/>
              <w:tabs>
                <w:tab w:val="left" w:pos="1440"/>
              </w:tabs>
              <w:rPr>
                <w:rFonts w:eastAsia="Calibri" w:cs="Calibri"/>
                <w:b/>
                <w:color w:val="000000"/>
                <w:sz w:val="20"/>
                <w:szCs w:val="20"/>
              </w:rPr>
            </w:pPr>
          </w:p>
          <w:p w:rsidR="009D278E" w:rsidRPr="00C82586" w:rsidRDefault="009D278E" w:rsidP="00064C77">
            <w:pPr>
              <w:pStyle w:val="PlainText"/>
              <w:tabs>
                <w:tab w:val="left" w:pos="1440"/>
              </w:tabs>
              <w:rPr>
                <w:rFonts w:eastAsia="Calibri" w:cs="Calibri"/>
                <w:b/>
                <w:i/>
                <w:color w:val="000000"/>
                <w:sz w:val="20"/>
                <w:szCs w:val="20"/>
              </w:rPr>
            </w:pPr>
            <w:r w:rsidRPr="00C82586">
              <w:rPr>
                <w:rFonts w:eastAsia="Calibri" w:cs="Calibri"/>
                <w:b/>
                <w:i/>
                <w:color w:val="000000"/>
                <w:sz w:val="20"/>
                <w:szCs w:val="20"/>
              </w:rPr>
              <w:t>SBCTC and PIC.</w:t>
            </w:r>
          </w:p>
          <w:p w:rsidR="009D278E" w:rsidRDefault="009D278E" w:rsidP="00064C77">
            <w:pPr>
              <w:pStyle w:val="PlainText"/>
              <w:tabs>
                <w:tab w:val="left" w:pos="1440"/>
              </w:tabs>
              <w:rPr>
                <w:rFonts w:eastAsia="Calibri" w:cs="Calibri"/>
                <w:b/>
                <w:color w:val="000000"/>
                <w:sz w:val="20"/>
                <w:szCs w:val="20"/>
              </w:rPr>
            </w:pPr>
          </w:p>
          <w:p w:rsidR="009D278E" w:rsidRPr="00C82586" w:rsidRDefault="00C82586" w:rsidP="00C82586">
            <w:pPr>
              <w:pStyle w:val="NormalWeb"/>
              <w:spacing w:before="0" w:beforeAutospacing="0" w:after="0" w:afterAutospacing="0"/>
              <w:rPr>
                <w:rFonts w:ascii="Calibri" w:eastAsia="Calibri" w:hAnsi="Calibri" w:cs="Calibri"/>
                <w:b/>
                <w:color w:val="4F6228" w:themeColor="accent3" w:themeShade="80"/>
                <w:sz w:val="20"/>
                <w:szCs w:val="20"/>
              </w:rPr>
            </w:pPr>
            <w:r w:rsidRPr="00C82586">
              <w:rPr>
                <w:rFonts w:ascii="Calibri" w:eastAsia="Calibri" w:hAnsi="Calibri" w:cs="Calibri"/>
                <w:b/>
                <w:color w:val="4F6228" w:themeColor="accent3" w:themeShade="80"/>
                <w:sz w:val="20"/>
                <w:szCs w:val="20"/>
              </w:rPr>
              <w:t>TIMELINE</w:t>
            </w:r>
            <w:r w:rsidR="009D278E" w:rsidRPr="00C82586">
              <w:rPr>
                <w:rFonts w:ascii="Calibri" w:eastAsia="Calibri" w:hAnsi="Calibri" w:cs="Calibri"/>
                <w:b/>
                <w:color w:val="4F6228" w:themeColor="accent3" w:themeShade="80"/>
                <w:sz w:val="20"/>
                <w:szCs w:val="20"/>
              </w:rPr>
              <w:t>: Fall, 2018</w:t>
            </w:r>
          </w:p>
          <w:p w:rsidR="009D278E" w:rsidRPr="00C82586" w:rsidRDefault="009D278E" w:rsidP="00C82586">
            <w:pPr>
              <w:pStyle w:val="NormalWeb"/>
              <w:spacing w:before="0" w:beforeAutospacing="0" w:after="0" w:afterAutospacing="0"/>
              <w:rPr>
                <w:rFonts w:ascii="Calibri" w:eastAsia="Calibri" w:hAnsi="Calibri" w:cs="Calibri"/>
                <w:b/>
                <w:color w:val="4F6228" w:themeColor="accent3" w:themeShade="80"/>
                <w:sz w:val="20"/>
                <w:szCs w:val="20"/>
              </w:rPr>
            </w:pPr>
            <w:r w:rsidRPr="00C82586">
              <w:rPr>
                <w:rFonts w:ascii="Calibri" w:eastAsia="Calibri" w:hAnsi="Calibri" w:cs="Calibri"/>
                <w:b/>
                <w:color w:val="4F6228" w:themeColor="accent3" w:themeShade="80"/>
                <w:sz w:val="20"/>
                <w:szCs w:val="20"/>
              </w:rPr>
              <w:t xml:space="preserve">Cost: </w:t>
            </w:r>
          </w:p>
          <w:p w:rsidR="009D278E" w:rsidRPr="00066928" w:rsidRDefault="009D278E" w:rsidP="00C82586">
            <w:pPr>
              <w:pStyle w:val="NormalWeb"/>
              <w:spacing w:before="0" w:beforeAutospacing="0" w:after="0" w:afterAutospacing="0"/>
              <w:rPr>
                <w:rFonts w:eastAsia="Calibri" w:cs="Calibri"/>
                <w:b/>
                <w:color w:val="000000"/>
                <w:sz w:val="20"/>
                <w:szCs w:val="20"/>
              </w:rPr>
            </w:pPr>
            <w:r w:rsidRPr="00C82586">
              <w:rPr>
                <w:rFonts w:ascii="Calibri" w:eastAsia="Calibri" w:hAnsi="Calibri" w:cs="Calibri"/>
                <w:b/>
                <w:color w:val="4F6228" w:themeColor="accent3" w:themeShade="80"/>
                <w:sz w:val="20"/>
                <w:szCs w:val="20"/>
              </w:rPr>
              <w:t>$300,000</w:t>
            </w:r>
          </w:p>
        </w:tc>
      </w:tr>
      <w:tr w:rsidR="009D278E" w:rsidRPr="00066928" w:rsidTr="001A2A6D">
        <w:trPr>
          <w:trHeight w:val="800"/>
        </w:trPr>
        <w:tc>
          <w:tcPr>
            <w:tcW w:w="1800" w:type="dxa"/>
            <w:tcBorders>
              <w:bottom w:val="nil"/>
            </w:tcBorders>
          </w:tcPr>
          <w:p w:rsidR="009D278E" w:rsidRPr="00066928" w:rsidRDefault="009D278E" w:rsidP="00064C77">
            <w:pPr>
              <w:pStyle w:val="ListParagraph"/>
              <w:numPr>
                <w:ilvl w:val="0"/>
                <w:numId w:val="19"/>
              </w:numPr>
              <w:ind w:left="345" w:hanging="270"/>
              <w:rPr>
                <w:b/>
                <w:sz w:val="20"/>
                <w:szCs w:val="20"/>
              </w:rPr>
            </w:pPr>
            <w:r w:rsidRPr="00066928">
              <w:rPr>
                <w:b/>
                <w:sz w:val="20"/>
                <w:szCs w:val="20"/>
              </w:rPr>
              <w:t>Onboarding/</w:t>
            </w:r>
          </w:p>
          <w:p w:rsidR="009D278E" w:rsidRPr="00066928" w:rsidRDefault="009D278E" w:rsidP="00064C77">
            <w:pPr>
              <w:pStyle w:val="ListParagraph"/>
              <w:ind w:left="360"/>
              <w:rPr>
                <w:b/>
                <w:sz w:val="20"/>
                <w:szCs w:val="20"/>
              </w:rPr>
            </w:pPr>
            <w:r w:rsidRPr="00066928">
              <w:rPr>
                <w:b/>
                <w:sz w:val="20"/>
                <w:szCs w:val="20"/>
              </w:rPr>
              <w:t>Entry</w:t>
            </w:r>
          </w:p>
          <w:p w:rsidR="009D278E" w:rsidRPr="00066928" w:rsidRDefault="009D278E" w:rsidP="00064C77">
            <w:pPr>
              <w:rPr>
                <w:b/>
                <w:sz w:val="20"/>
                <w:szCs w:val="20"/>
              </w:rPr>
            </w:pPr>
          </w:p>
          <w:p w:rsidR="009D278E" w:rsidRPr="00066928" w:rsidRDefault="009D278E" w:rsidP="00064C77">
            <w:pPr>
              <w:rPr>
                <w:sz w:val="20"/>
                <w:szCs w:val="20"/>
              </w:rPr>
            </w:pPr>
          </w:p>
          <w:p w:rsidR="009D278E" w:rsidRPr="00066928" w:rsidRDefault="009D278E" w:rsidP="00064C77">
            <w:pPr>
              <w:rPr>
                <w:sz w:val="20"/>
                <w:szCs w:val="20"/>
              </w:rPr>
            </w:pPr>
          </w:p>
          <w:p w:rsidR="009D278E" w:rsidRPr="00066928" w:rsidRDefault="009D278E" w:rsidP="00064C77">
            <w:pPr>
              <w:rPr>
                <w:sz w:val="20"/>
                <w:szCs w:val="20"/>
              </w:rPr>
            </w:pPr>
          </w:p>
        </w:tc>
        <w:tc>
          <w:tcPr>
            <w:tcW w:w="1800" w:type="dxa"/>
            <w:shd w:val="clear" w:color="auto" w:fill="DBE5F1" w:themeFill="accent1" w:themeFillTint="33"/>
          </w:tcPr>
          <w:p w:rsidR="009D278E" w:rsidRPr="00C82586" w:rsidRDefault="009D278E" w:rsidP="00064C77">
            <w:pPr>
              <w:ind w:left="250" w:hanging="250"/>
              <w:rPr>
                <w:b/>
                <w:color w:val="5F497A" w:themeColor="accent4" w:themeShade="BF"/>
                <w:sz w:val="20"/>
                <w:szCs w:val="20"/>
              </w:rPr>
            </w:pPr>
            <w:r w:rsidRPr="00066928">
              <w:rPr>
                <w:b/>
                <w:sz w:val="20"/>
                <w:szCs w:val="20"/>
              </w:rPr>
              <w:t xml:space="preserve">3.1 </w:t>
            </w:r>
            <w:r w:rsidRPr="00C82586">
              <w:rPr>
                <w:b/>
                <w:color w:val="5F497A" w:themeColor="accent4" w:themeShade="BF"/>
                <w:sz w:val="20"/>
                <w:szCs w:val="20"/>
              </w:rPr>
              <w:t>Increase the number of students who enroll after applying to the colleges with an emphasis on bridging the equity gap.</w:t>
            </w:r>
          </w:p>
          <w:p w:rsidR="009D278E" w:rsidRPr="00C82586" w:rsidRDefault="009D278E" w:rsidP="00064C77">
            <w:pPr>
              <w:rPr>
                <w:b/>
                <w:color w:val="5F497A" w:themeColor="accent4" w:themeShade="BF"/>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rPr>
                <w:b/>
                <w:sz w:val="20"/>
                <w:szCs w:val="20"/>
              </w:rPr>
            </w:pPr>
          </w:p>
          <w:p w:rsidR="009D278E" w:rsidRPr="00066928" w:rsidRDefault="009D278E" w:rsidP="00064C77">
            <w:pPr>
              <w:rPr>
                <w:sz w:val="20"/>
                <w:szCs w:val="20"/>
              </w:rPr>
            </w:pPr>
          </w:p>
        </w:tc>
        <w:tc>
          <w:tcPr>
            <w:tcW w:w="2970" w:type="dxa"/>
            <w:shd w:val="clear" w:color="auto" w:fill="EEECE1" w:themeFill="background2"/>
          </w:tcPr>
          <w:p w:rsidR="009D278E" w:rsidRPr="00066928" w:rsidRDefault="009D278E" w:rsidP="00064C77">
            <w:pPr>
              <w:pStyle w:val="ListParagraph"/>
              <w:numPr>
                <w:ilvl w:val="0"/>
                <w:numId w:val="28"/>
              </w:numPr>
              <w:ind w:left="166" w:hanging="180"/>
              <w:rPr>
                <w:sz w:val="20"/>
                <w:szCs w:val="20"/>
              </w:rPr>
            </w:pPr>
            <w:r w:rsidRPr="00066928">
              <w:rPr>
                <w:sz w:val="20"/>
                <w:szCs w:val="20"/>
              </w:rPr>
              <w:t xml:space="preserve">We have received a few examples of application yield rates from colleges tracking this information.  Colleges reported application yield rates between 25% and 50%, with most rates around 30%.  Some of the students who applied and did not enroll may enroll later or at another college, but it appears that a large number of students complete an application and never enroll. </w:t>
            </w:r>
          </w:p>
        </w:tc>
        <w:tc>
          <w:tcPr>
            <w:tcW w:w="4320" w:type="dxa"/>
            <w:shd w:val="clear" w:color="auto" w:fill="FDE9D9" w:themeFill="accent6" w:themeFillTint="33"/>
          </w:tcPr>
          <w:p w:rsidR="009D278E" w:rsidRPr="00066928" w:rsidRDefault="009D278E" w:rsidP="001A2A6D">
            <w:pPr>
              <w:pStyle w:val="ListParagraph"/>
              <w:numPr>
                <w:ilvl w:val="0"/>
                <w:numId w:val="22"/>
              </w:numPr>
              <w:ind w:left="256" w:hanging="270"/>
              <w:rPr>
                <w:b/>
                <w:sz w:val="20"/>
                <w:szCs w:val="20"/>
              </w:rPr>
            </w:pPr>
            <w:r w:rsidRPr="00066928">
              <w:rPr>
                <w:b/>
                <w:sz w:val="20"/>
                <w:szCs w:val="20"/>
              </w:rPr>
              <w:t>Simplify entry processes (e.g. rebuild state online application form and process and integrate with CRM information)</w:t>
            </w:r>
          </w:p>
          <w:p w:rsidR="009D278E" w:rsidRPr="00066928" w:rsidRDefault="009D278E" w:rsidP="001A2A6D">
            <w:pPr>
              <w:ind w:left="256" w:hanging="270"/>
              <w:rPr>
                <w:b/>
                <w:sz w:val="20"/>
                <w:szCs w:val="20"/>
              </w:rPr>
            </w:pPr>
          </w:p>
          <w:p w:rsidR="009D278E" w:rsidRPr="00066928" w:rsidRDefault="009D278E" w:rsidP="001A2A6D">
            <w:pPr>
              <w:ind w:left="256" w:hanging="270"/>
              <w:rPr>
                <w:b/>
                <w:sz w:val="20"/>
                <w:szCs w:val="20"/>
              </w:rPr>
            </w:pPr>
          </w:p>
          <w:p w:rsidR="009D278E" w:rsidRDefault="009D278E" w:rsidP="001A2A6D">
            <w:pPr>
              <w:ind w:left="256" w:hanging="270"/>
              <w:rPr>
                <w:b/>
                <w:sz w:val="20"/>
                <w:szCs w:val="20"/>
              </w:rPr>
            </w:pPr>
          </w:p>
          <w:p w:rsidR="00C72D8C" w:rsidRPr="00066928" w:rsidRDefault="00C72D8C" w:rsidP="001A2A6D">
            <w:pPr>
              <w:ind w:left="256" w:hanging="270"/>
              <w:rPr>
                <w:b/>
                <w:sz w:val="20"/>
                <w:szCs w:val="20"/>
              </w:rPr>
            </w:pPr>
          </w:p>
          <w:p w:rsidR="009D278E" w:rsidRPr="00066928" w:rsidRDefault="009D278E" w:rsidP="001A2A6D">
            <w:pPr>
              <w:pStyle w:val="ListParagraph"/>
              <w:numPr>
                <w:ilvl w:val="0"/>
                <w:numId w:val="22"/>
              </w:numPr>
              <w:ind w:left="256" w:hanging="270"/>
              <w:rPr>
                <w:b/>
                <w:i/>
                <w:sz w:val="20"/>
                <w:szCs w:val="20"/>
              </w:rPr>
            </w:pPr>
            <w:r w:rsidRPr="00066928">
              <w:rPr>
                <w:b/>
                <w:sz w:val="20"/>
                <w:szCs w:val="20"/>
              </w:rPr>
              <w:t>Assist students through the entry process: Use CRM/tracking to eliminate common barriers in the entry process and target those areas (ex: financial aid, placement testing, OER, etc.)</w:t>
            </w:r>
          </w:p>
        </w:tc>
        <w:tc>
          <w:tcPr>
            <w:tcW w:w="3330" w:type="dxa"/>
            <w:shd w:val="clear" w:color="auto" w:fill="FDE9D9" w:themeFill="accent6" w:themeFillTint="33"/>
          </w:tcPr>
          <w:p w:rsidR="009D278E" w:rsidRPr="00C82586" w:rsidRDefault="009D278E" w:rsidP="00064C77">
            <w:pPr>
              <w:pStyle w:val="PlainText"/>
              <w:tabs>
                <w:tab w:val="left" w:pos="1440"/>
              </w:tabs>
              <w:rPr>
                <w:b/>
                <w:i/>
                <w:sz w:val="20"/>
                <w:szCs w:val="20"/>
              </w:rPr>
            </w:pPr>
            <w:r w:rsidRPr="00C82586">
              <w:rPr>
                <w:b/>
                <w:i/>
                <w:sz w:val="20"/>
                <w:szCs w:val="20"/>
              </w:rPr>
              <w:t>Admissions application group, WA Student Services Commission (WSSSC)</w:t>
            </w:r>
          </w:p>
          <w:p w:rsidR="009D278E" w:rsidRPr="00C82586" w:rsidRDefault="009D278E" w:rsidP="00064C77">
            <w:pPr>
              <w:pStyle w:val="PlainText"/>
              <w:tabs>
                <w:tab w:val="left" w:pos="1440"/>
              </w:tabs>
              <w:rPr>
                <w:b/>
                <w:i/>
                <w:sz w:val="20"/>
                <w:szCs w:val="20"/>
              </w:rPr>
            </w:pPr>
          </w:p>
          <w:p w:rsidR="009D278E" w:rsidRPr="00C82586" w:rsidRDefault="00C82586" w:rsidP="00C82586">
            <w:pPr>
              <w:pStyle w:val="NormalWeb"/>
              <w:spacing w:before="0" w:beforeAutospacing="0" w:after="0" w:afterAutospacing="0"/>
              <w:rPr>
                <w:rFonts w:ascii="Calibri" w:eastAsia="Calibri" w:hAnsi="Calibri" w:cs="Calibri"/>
                <w:b/>
                <w:color w:val="4F6228" w:themeColor="accent3" w:themeShade="80"/>
                <w:sz w:val="20"/>
                <w:szCs w:val="20"/>
              </w:rPr>
            </w:pPr>
            <w:r w:rsidRPr="00C82586">
              <w:rPr>
                <w:rFonts w:ascii="Calibri" w:eastAsia="Calibri" w:hAnsi="Calibri" w:cs="Calibri"/>
                <w:b/>
                <w:color w:val="4F6228" w:themeColor="accent3" w:themeShade="80"/>
                <w:sz w:val="20"/>
                <w:szCs w:val="20"/>
              </w:rPr>
              <w:t>TIMELINE:</w:t>
            </w:r>
            <w:r w:rsidR="009D278E" w:rsidRPr="00C82586">
              <w:rPr>
                <w:rFonts w:ascii="Calibri" w:eastAsia="Calibri" w:hAnsi="Calibri" w:cs="Calibri"/>
                <w:b/>
                <w:color w:val="4F6228" w:themeColor="accent3" w:themeShade="80"/>
                <w:sz w:val="20"/>
                <w:szCs w:val="20"/>
              </w:rPr>
              <w:t xml:space="preserve"> 2018-2019</w:t>
            </w:r>
          </w:p>
          <w:p w:rsidR="009D278E" w:rsidRDefault="009D278E" w:rsidP="00064C77">
            <w:pPr>
              <w:pStyle w:val="PlainText"/>
              <w:tabs>
                <w:tab w:val="left" w:pos="1440"/>
              </w:tabs>
              <w:rPr>
                <w:b/>
                <w:sz w:val="20"/>
                <w:szCs w:val="20"/>
              </w:rPr>
            </w:pPr>
          </w:p>
          <w:p w:rsidR="00C72D8C" w:rsidRDefault="00C72D8C" w:rsidP="00064C77">
            <w:pPr>
              <w:pStyle w:val="PlainText"/>
              <w:tabs>
                <w:tab w:val="left" w:pos="1440"/>
              </w:tabs>
              <w:rPr>
                <w:b/>
                <w:sz w:val="20"/>
                <w:szCs w:val="20"/>
              </w:rPr>
            </w:pPr>
          </w:p>
          <w:p w:rsidR="00C72D8C" w:rsidRPr="00066928" w:rsidRDefault="00C72D8C" w:rsidP="00064C77">
            <w:pPr>
              <w:pStyle w:val="PlainText"/>
              <w:tabs>
                <w:tab w:val="left" w:pos="1440"/>
              </w:tabs>
              <w:rPr>
                <w:b/>
                <w:sz w:val="20"/>
                <w:szCs w:val="20"/>
              </w:rPr>
            </w:pPr>
          </w:p>
          <w:p w:rsidR="009D278E" w:rsidRPr="00C82586" w:rsidRDefault="009D278E" w:rsidP="00064C77">
            <w:pPr>
              <w:pStyle w:val="PlainText"/>
              <w:tabs>
                <w:tab w:val="left" w:pos="1440"/>
              </w:tabs>
              <w:rPr>
                <w:b/>
                <w:i/>
                <w:sz w:val="20"/>
                <w:szCs w:val="20"/>
              </w:rPr>
            </w:pPr>
            <w:r w:rsidRPr="00C82586">
              <w:rPr>
                <w:b/>
                <w:i/>
                <w:sz w:val="20"/>
                <w:szCs w:val="20"/>
              </w:rPr>
              <w:t>WSSSC Financial Aid, Admissions &amp; Registration Councils</w:t>
            </w:r>
          </w:p>
          <w:p w:rsidR="009D278E" w:rsidRDefault="009D278E" w:rsidP="00064C77">
            <w:pPr>
              <w:pStyle w:val="PlainText"/>
              <w:tabs>
                <w:tab w:val="left" w:pos="1440"/>
              </w:tabs>
              <w:rPr>
                <w:b/>
                <w:sz w:val="20"/>
                <w:szCs w:val="20"/>
              </w:rPr>
            </w:pPr>
          </w:p>
          <w:p w:rsidR="009D278E" w:rsidRDefault="00C82586" w:rsidP="00064C77">
            <w:pPr>
              <w:pStyle w:val="PlainText"/>
              <w:tabs>
                <w:tab w:val="left" w:pos="1440"/>
              </w:tabs>
              <w:rPr>
                <w:b/>
                <w:sz w:val="20"/>
                <w:szCs w:val="20"/>
              </w:rPr>
            </w:pPr>
            <w:r>
              <w:rPr>
                <w:b/>
                <w:sz w:val="20"/>
                <w:szCs w:val="20"/>
              </w:rPr>
              <w:t>TIMELINE</w:t>
            </w:r>
            <w:r w:rsidR="009D278E">
              <w:rPr>
                <w:b/>
                <w:sz w:val="20"/>
                <w:szCs w:val="20"/>
              </w:rPr>
              <w:t>:</w:t>
            </w:r>
          </w:p>
          <w:p w:rsidR="009D278E" w:rsidRPr="00066928" w:rsidRDefault="009D278E" w:rsidP="009D278E">
            <w:pPr>
              <w:pStyle w:val="PlainText"/>
              <w:tabs>
                <w:tab w:val="left" w:pos="1440"/>
              </w:tabs>
              <w:rPr>
                <w:b/>
                <w:sz w:val="20"/>
                <w:szCs w:val="20"/>
              </w:rPr>
            </w:pPr>
            <w:r w:rsidRPr="00066928">
              <w:rPr>
                <w:b/>
                <w:sz w:val="20"/>
                <w:szCs w:val="20"/>
              </w:rPr>
              <w:t xml:space="preserve">Work on specific areas/common barriers: </w:t>
            </w:r>
          </w:p>
          <w:p w:rsidR="009D278E" w:rsidRPr="00066928" w:rsidRDefault="009D278E" w:rsidP="009D278E">
            <w:pPr>
              <w:pStyle w:val="PlainText"/>
              <w:tabs>
                <w:tab w:val="left" w:pos="1440"/>
              </w:tabs>
              <w:rPr>
                <w:b/>
                <w:sz w:val="20"/>
                <w:szCs w:val="20"/>
              </w:rPr>
            </w:pPr>
            <w:r w:rsidRPr="00066928">
              <w:rPr>
                <w:b/>
                <w:sz w:val="20"/>
                <w:szCs w:val="20"/>
              </w:rPr>
              <w:t>next year</w:t>
            </w:r>
          </w:p>
          <w:p w:rsidR="009D278E" w:rsidRPr="00C82586" w:rsidRDefault="009D278E" w:rsidP="009D278E">
            <w:pPr>
              <w:pStyle w:val="PlainText"/>
              <w:tabs>
                <w:tab w:val="left" w:pos="1440"/>
              </w:tabs>
              <w:rPr>
                <w:b/>
                <w:i/>
                <w:sz w:val="20"/>
                <w:szCs w:val="20"/>
              </w:rPr>
            </w:pPr>
            <w:r w:rsidRPr="00C82586">
              <w:rPr>
                <w:b/>
                <w:i/>
                <w:sz w:val="20"/>
                <w:szCs w:val="20"/>
              </w:rPr>
              <w:t xml:space="preserve">Statewide CRM contract discussion: </w:t>
            </w:r>
          </w:p>
          <w:p w:rsidR="009D278E" w:rsidRPr="00066928" w:rsidRDefault="009D278E" w:rsidP="009D278E">
            <w:pPr>
              <w:pStyle w:val="PlainText"/>
              <w:tabs>
                <w:tab w:val="left" w:pos="1440"/>
              </w:tabs>
              <w:rPr>
                <w:b/>
                <w:sz w:val="20"/>
                <w:szCs w:val="20"/>
              </w:rPr>
            </w:pPr>
            <w:r w:rsidRPr="00C82586">
              <w:rPr>
                <w:b/>
                <w:i/>
                <w:sz w:val="20"/>
                <w:szCs w:val="20"/>
              </w:rPr>
              <w:t>next few years</w:t>
            </w:r>
          </w:p>
        </w:tc>
      </w:tr>
      <w:tr w:rsidR="009D278E" w:rsidRPr="00066928" w:rsidTr="00C72D8C">
        <w:trPr>
          <w:trHeight w:val="890"/>
        </w:trPr>
        <w:tc>
          <w:tcPr>
            <w:tcW w:w="1800" w:type="dxa"/>
            <w:tcBorders>
              <w:top w:val="nil"/>
              <w:bottom w:val="nil"/>
            </w:tcBorders>
          </w:tcPr>
          <w:p w:rsidR="009D278E" w:rsidRPr="00066928" w:rsidRDefault="009D278E" w:rsidP="00064C77">
            <w:pPr>
              <w:contextualSpacing/>
              <w:rPr>
                <w:b/>
                <w:sz w:val="20"/>
                <w:szCs w:val="20"/>
              </w:rPr>
            </w:pPr>
          </w:p>
        </w:tc>
        <w:tc>
          <w:tcPr>
            <w:tcW w:w="1800" w:type="dxa"/>
            <w:shd w:val="clear" w:color="auto" w:fill="DBE5F1" w:themeFill="accent1" w:themeFillTint="33"/>
          </w:tcPr>
          <w:p w:rsidR="009D278E" w:rsidRPr="00C82586" w:rsidRDefault="009D278E" w:rsidP="00064C77">
            <w:pPr>
              <w:ind w:left="250" w:hanging="250"/>
              <w:rPr>
                <w:b/>
                <w:color w:val="5F497A" w:themeColor="accent4" w:themeShade="BF"/>
                <w:sz w:val="20"/>
                <w:szCs w:val="20"/>
              </w:rPr>
            </w:pPr>
            <w:r w:rsidRPr="00066928">
              <w:rPr>
                <w:b/>
                <w:sz w:val="20"/>
                <w:szCs w:val="20"/>
              </w:rPr>
              <w:t xml:space="preserve">3.2   Increase the </w:t>
            </w:r>
            <w:r w:rsidRPr="00C82586">
              <w:rPr>
                <w:b/>
                <w:color w:val="5F497A" w:themeColor="accent4" w:themeShade="BF"/>
                <w:sz w:val="20"/>
                <w:szCs w:val="20"/>
              </w:rPr>
              <w:t>number of who successfully complete the first 15 college level credits with an emphasis on bridging the equity gap.</w:t>
            </w:r>
          </w:p>
          <w:p w:rsidR="009D278E" w:rsidRPr="00C82586" w:rsidRDefault="009D278E" w:rsidP="00064C77">
            <w:pPr>
              <w:ind w:left="250" w:hanging="360"/>
              <w:rPr>
                <w:b/>
                <w:color w:val="5F497A" w:themeColor="accent4" w:themeShade="BF"/>
                <w:sz w:val="20"/>
                <w:szCs w:val="20"/>
              </w:rPr>
            </w:pPr>
          </w:p>
          <w:p w:rsidR="009D278E" w:rsidRPr="00066928" w:rsidRDefault="009D278E" w:rsidP="001A2A6D">
            <w:pPr>
              <w:rPr>
                <w:b/>
                <w:sz w:val="20"/>
                <w:szCs w:val="20"/>
              </w:rPr>
            </w:pPr>
          </w:p>
        </w:tc>
        <w:tc>
          <w:tcPr>
            <w:tcW w:w="2970" w:type="dxa"/>
            <w:shd w:val="clear" w:color="auto" w:fill="EEECE1" w:themeFill="background2"/>
          </w:tcPr>
          <w:p w:rsidR="009D278E" w:rsidRPr="00066928" w:rsidRDefault="009D278E" w:rsidP="00064C77">
            <w:pPr>
              <w:pStyle w:val="ListParagraph"/>
              <w:numPr>
                <w:ilvl w:val="0"/>
                <w:numId w:val="28"/>
              </w:numPr>
              <w:ind w:left="166" w:hanging="166"/>
              <w:rPr>
                <w:sz w:val="20"/>
                <w:szCs w:val="20"/>
              </w:rPr>
            </w:pPr>
            <w:r w:rsidRPr="00066928">
              <w:rPr>
                <w:sz w:val="20"/>
                <w:szCs w:val="20"/>
              </w:rPr>
              <w:t>Approximately 63% of 37,000 new award-seeking students in a year are completing 15 college credits by their second year.</w:t>
            </w:r>
          </w:p>
          <w:p w:rsidR="009D278E" w:rsidRPr="00066928" w:rsidRDefault="009D278E" w:rsidP="00064C77">
            <w:pPr>
              <w:pStyle w:val="ListParagraph"/>
              <w:numPr>
                <w:ilvl w:val="0"/>
                <w:numId w:val="28"/>
              </w:numPr>
              <w:ind w:left="166" w:hanging="166"/>
              <w:rPr>
                <w:sz w:val="20"/>
                <w:szCs w:val="20"/>
              </w:rPr>
            </w:pPr>
            <w:r w:rsidRPr="00066928">
              <w:rPr>
                <w:sz w:val="20"/>
                <w:szCs w:val="20"/>
              </w:rPr>
              <w:t>Approximately 14,000 new award-seeking students are not completing 15 college credits by their second year.</w:t>
            </w:r>
          </w:p>
          <w:p w:rsidR="009D278E" w:rsidRPr="001A2A6D" w:rsidRDefault="009D278E" w:rsidP="00064C77">
            <w:pPr>
              <w:pStyle w:val="ListParagraph"/>
              <w:numPr>
                <w:ilvl w:val="0"/>
                <w:numId w:val="28"/>
              </w:numPr>
              <w:ind w:left="166" w:hanging="166"/>
              <w:rPr>
                <w:sz w:val="20"/>
                <w:szCs w:val="20"/>
              </w:rPr>
            </w:pPr>
            <w:r w:rsidRPr="00066928">
              <w:rPr>
                <w:sz w:val="20"/>
                <w:szCs w:val="20"/>
              </w:rPr>
              <w:t>Lower rate for HU students of color (59%).</w:t>
            </w:r>
          </w:p>
        </w:tc>
        <w:tc>
          <w:tcPr>
            <w:tcW w:w="4320" w:type="dxa"/>
            <w:shd w:val="clear" w:color="auto" w:fill="FDE9D9" w:themeFill="accent6" w:themeFillTint="33"/>
          </w:tcPr>
          <w:p w:rsidR="009D278E" w:rsidRPr="00C72D8C" w:rsidRDefault="009D278E" w:rsidP="001A2A6D">
            <w:pPr>
              <w:pStyle w:val="ListParagraph"/>
              <w:numPr>
                <w:ilvl w:val="0"/>
                <w:numId w:val="22"/>
              </w:numPr>
              <w:ind w:left="256" w:hanging="256"/>
              <w:rPr>
                <w:b/>
                <w:i/>
                <w:sz w:val="20"/>
                <w:szCs w:val="20"/>
              </w:rPr>
            </w:pPr>
            <w:r w:rsidRPr="00066928">
              <w:rPr>
                <w:b/>
                <w:sz w:val="20"/>
                <w:szCs w:val="20"/>
              </w:rPr>
              <w:t xml:space="preserve">Personalize the support team for each student and ensure the team makes a connection within the first quarter as appropriate, with just-in-time information (e.g. choose your pathway, funding, support programs) </w:t>
            </w:r>
          </w:p>
          <w:p w:rsidR="00C72D8C" w:rsidRPr="005F1172" w:rsidRDefault="00C72D8C" w:rsidP="001A2A6D">
            <w:pPr>
              <w:pStyle w:val="ListParagraph"/>
              <w:ind w:left="346" w:hanging="270"/>
              <w:rPr>
                <w:b/>
                <w:i/>
                <w:sz w:val="20"/>
                <w:szCs w:val="20"/>
              </w:rPr>
            </w:pPr>
          </w:p>
          <w:p w:rsidR="009D278E" w:rsidRPr="001A2A6D" w:rsidRDefault="009D278E" w:rsidP="001A2A6D">
            <w:pPr>
              <w:pStyle w:val="ListParagraph"/>
              <w:numPr>
                <w:ilvl w:val="0"/>
                <w:numId w:val="22"/>
              </w:numPr>
              <w:ind w:left="256" w:hanging="270"/>
              <w:rPr>
                <w:b/>
                <w:sz w:val="20"/>
                <w:szCs w:val="20"/>
              </w:rPr>
            </w:pPr>
            <w:r>
              <w:rPr>
                <w:b/>
                <w:sz w:val="20"/>
                <w:szCs w:val="20"/>
              </w:rPr>
              <w:t>Integrate contextualized learning outcomes and student support messaging into first quarter or “gateway” (high enrollment/low completion) courses.</w:t>
            </w:r>
          </w:p>
          <w:p w:rsidR="009D278E" w:rsidRPr="00066928" w:rsidRDefault="009D278E" w:rsidP="00064C77">
            <w:pPr>
              <w:rPr>
                <w:b/>
                <w:i/>
                <w:sz w:val="20"/>
                <w:szCs w:val="20"/>
              </w:rPr>
            </w:pPr>
            <w:r w:rsidRPr="00066928">
              <w:rPr>
                <w:b/>
                <w:i/>
                <w:sz w:val="20"/>
                <w:szCs w:val="20"/>
              </w:rPr>
              <w:t xml:space="preserve"> </w:t>
            </w:r>
          </w:p>
        </w:tc>
        <w:tc>
          <w:tcPr>
            <w:tcW w:w="3330" w:type="dxa"/>
            <w:shd w:val="clear" w:color="auto" w:fill="FDE9D9" w:themeFill="accent6" w:themeFillTint="33"/>
          </w:tcPr>
          <w:p w:rsidR="009D278E" w:rsidRPr="00C82586" w:rsidRDefault="009D278E" w:rsidP="00064C77">
            <w:pPr>
              <w:rPr>
                <w:b/>
                <w:i/>
                <w:sz w:val="20"/>
                <w:szCs w:val="20"/>
              </w:rPr>
            </w:pPr>
            <w:r w:rsidRPr="00C82586">
              <w:rPr>
                <w:b/>
                <w:i/>
                <w:sz w:val="20"/>
                <w:szCs w:val="20"/>
              </w:rPr>
              <w:t>WA Student Services Commission (WSSSC), Instruction Commission (i.e. Guided Pathways leadership)</w:t>
            </w:r>
          </w:p>
          <w:p w:rsidR="009D278E" w:rsidRDefault="009D278E" w:rsidP="00064C77">
            <w:pPr>
              <w:rPr>
                <w:b/>
                <w:sz w:val="20"/>
                <w:szCs w:val="20"/>
              </w:rPr>
            </w:pPr>
          </w:p>
          <w:p w:rsidR="009D278E" w:rsidRPr="00066928" w:rsidRDefault="00C82586" w:rsidP="00C82586">
            <w:pPr>
              <w:pStyle w:val="NormalWeb"/>
              <w:pBdr>
                <w:top w:val="nil"/>
                <w:left w:val="nil"/>
                <w:bottom w:val="nil"/>
                <w:right w:val="nil"/>
                <w:between w:val="nil"/>
              </w:pBdr>
              <w:spacing w:before="0" w:beforeAutospacing="0" w:after="0" w:afterAutospacing="0"/>
              <w:rPr>
                <w:b/>
                <w:i/>
                <w:color w:val="FF0000"/>
                <w:sz w:val="20"/>
                <w:szCs w:val="20"/>
              </w:rPr>
            </w:pPr>
            <w:r w:rsidRPr="00C82586">
              <w:rPr>
                <w:rFonts w:ascii="Calibri" w:eastAsia="Calibri" w:hAnsi="Calibri" w:cs="Calibri"/>
                <w:b/>
                <w:color w:val="4F6228" w:themeColor="accent3" w:themeShade="80"/>
                <w:sz w:val="20"/>
                <w:szCs w:val="20"/>
              </w:rPr>
              <w:t>TIMELINE</w:t>
            </w:r>
            <w:r w:rsidR="009D278E" w:rsidRPr="00C82586">
              <w:rPr>
                <w:rFonts w:ascii="Calibri" w:eastAsia="Calibri" w:hAnsi="Calibri" w:cs="Calibri"/>
                <w:b/>
                <w:color w:val="4F6228" w:themeColor="accent3" w:themeShade="80"/>
                <w:sz w:val="20"/>
                <w:szCs w:val="20"/>
              </w:rPr>
              <w:t>: 2018-2019</w:t>
            </w:r>
          </w:p>
        </w:tc>
      </w:tr>
      <w:tr w:rsidR="009D278E" w:rsidRPr="00066928" w:rsidTr="00C72D8C">
        <w:trPr>
          <w:trHeight w:val="170"/>
        </w:trPr>
        <w:tc>
          <w:tcPr>
            <w:tcW w:w="1800" w:type="dxa"/>
            <w:tcBorders>
              <w:top w:val="nil"/>
              <w:bottom w:val="single" w:sz="4" w:space="0" w:color="000000"/>
            </w:tcBorders>
          </w:tcPr>
          <w:p w:rsidR="009D278E" w:rsidRPr="00066928" w:rsidRDefault="009D278E" w:rsidP="00064C77">
            <w:pPr>
              <w:contextualSpacing/>
              <w:rPr>
                <w:b/>
                <w:sz w:val="20"/>
                <w:szCs w:val="20"/>
              </w:rPr>
            </w:pPr>
          </w:p>
        </w:tc>
        <w:tc>
          <w:tcPr>
            <w:tcW w:w="1800" w:type="dxa"/>
            <w:shd w:val="clear" w:color="auto" w:fill="DBE5F1" w:themeFill="accent1" w:themeFillTint="33"/>
          </w:tcPr>
          <w:p w:rsidR="009D278E" w:rsidRPr="00C82586" w:rsidRDefault="009D278E" w:rsidP="00064C77">
            <w:pPr>
              <w:ind w:left="250" w:hanging="250"/>
              <w:rPr>
                <w:b/>
                <w:color w:val="5F497A" w:themeColor="accent4" w:themeShade="BF"/>
                <w:sz w:val="20"/>
                <w:szCs w:val="20"/>
              </w:rPr>
            </w:pPr>
            <w:r w:rsidRPr="00066928">
              <w:rPr>
                <w:b/>
                <w:sz w:val="20"/>
                <w:szCs w:val="20"/>
              </w:rPr>
              <w:t xml:space="preserve"> 3.3 </w:t>
            </w:r>
            <w:r w:rsidRPr="00C82586">
              <w:rPr>
                <w:b/>
                <w:color w:val="5F497A" w:themeColor="accent4" w:themeShade="BF"/>
                <w:sz w:val="20"/>
                <w:szCs w:val="20"/>
              </w:rPr>
              <w:t>Increase the number of basic education students who transition to college level courses with an emphasis on bridging the equity gap.</w:t>
            </w:r>
          </w:p>
          <w:p w:rsidR="009D278E" w:rsidRPr="00066928" w:rsidRDefault="009D278E" w:rsidP="00064C77">
            <w:pPr>
              <w:ind w:left="250" w:hanging="360"/>
              <w:rPr>
                <w:b/>
                <w:sz w:val="20"/>
                <w:szCs w:val="20"/>
              </w:rPr>
            </w:pPr>
          </w:p>
        </w:tc>
        <w:tc>
          <w:tcPr>
            <w:tcW w:w="2970" w:type="dxa"/>
            <w:shd w:val="clear" w:color="auto" w:fill="EEECE1" w:themeFill="background2"/>
          </w:tcPr>
          <w:p w:rsidR="009D278E" w:rsidRPr="00066928" w:rsidRDefault="009D278E" w:rsidP="00064C77">
            <w:pPr>
              <w:pStyle w:val="ListParagraph"/>
              <w:numPr>
                <w:ilvl w:val="0"/>
                <w:numId w:val="29"/>
              </w:numPr>
              <w:ind w:left="166" w:hanging="180"/>
              <w:rPr>
                <w:sz w:val="20"/>
                <w:szCs w:val="20"/>
              </w:rPr>
            </w:pPr>
            <w:r w:rsidRPr="00066928">
              <w:rPr>
                <w:sz w:val="20"/>
                <w:szCs w:val="20"/>
              </w:rPr>
              <w:t>Approximately 19% of 25,000 new basic education students in a year are transitioning to college courses.</w:t>
            </w:r>
          </w:p>
          <w:p w:rsidR="009D278E" w:rsidRPr="00066928" w:rsidRDefault="009D278E" w:rsidP="00064C77">
            <w:pPr>
              <w:pStyle w:val="ListParagraph"/>
              <w:numPr>
                <w:ilvl w:val="0"/>
                <w:numId w:val="29"/>
              </w:numPr>
              <w:ind w:left="166" w:hanging="180"/>
              <w:rPr>
                <w:sz w:val="20"/>
                <w:szCs w:val="20"/>
              </w:rPr>
            </w:pPr>
            <w:r w:rsidRPr="00066928">
              <w:rPr>
                <w:sz w:val="20"/>
                <w:szCs w:val="20"/>
              </w:rPr>
              <w:t>Approximately 20,000 new basic education students in a year are not transitioning to college courses.</w:t>
            </w:r>
          </w:p>
          <w:p w:rsidR="009D278E" w:rsidRPr="00066928" w:rsidRDefault="009D278E" w:rsidP="00064C77">
            <w:pPr>
              <w:pStyle w:val="ListParagraph"/>
              <w:numPr>
                <w:ilvl w:val="0"/>
                <w:numId w:val="29"/>
              </w:numPr>
              <w:ind w:left="166" w:hanging="180"/>
              <w:rPr>
                <w:sz w:val="20"/>
                <w:szCs w:val="20"/>
              </w:rPr>
            </w:pPr>
            <w:r w:rsidRPr="00066928">
              <w:rPr>
                <w:sz w:val="20"/>
                <w:szCs w:val="20"/>
              </w:rPr>
              <w:t>Lower transition rate for HU students of color (13%)</w:t>
            </w:r>
          </w:p>
        </w:tc>
        <w:tc>
          <w:tcPr>
            <w:tcW w:w="4320" w:type="dxa"/>
            <w:shd w:val="clear" w:color="auto" w:fill="FDE9D9" w:themeFill="accent6" w:themeFillTint="33"/>
          </w:tcPr>
          <w:p w:rsidR="00C72D8C" w:rsidRPr="00C72D8C" w:rsidRDefault="009D278E" w:rsidP="001A2A6D">
            <w:pPr>
              <w:pStyle w:val="ListParagraph"/>
              <w:numPr>
                <w:ilvl w:val="0"/>
                <w:numId w:val="22"/>
              </w:numPr>
              <w:ind w:left="256" w:hanging="256"/>
              <w:rPr>
                <w:i/>
                <w:sz w:val="20"/>
                <w:szCs w:val="20"/>
              </w:rPr>
            </w:pPr>
            <w:r w:rsidRPr="00066928">
              <w:rPr>
                <w:b/>
                <w:sz w:val="20"/>
                <w:szCs w:val="20"/>
              </w:rPr>
              <w:t>Address transition barriers with additional I-BEST programs</w:t>
            </w:r>
            <w:r>
              <w:rPr>
                <w:b/>
                <w:sz w:val="20"/>
                <w:szCs w:val="20"/>
              </w:rPr>
              <w:t>,</w:t>
            </w:r>
            <w:r w:rsidRPr="00066928">
              <w:rPr>
                <w:i/>
                <w:sz w:val="20"/>
                <w:szCs w:val="20"/>
              </w:rPr>
              <w:t xml:space="preserve"> </w:t>
            </w:r>
            <w:r w:rsidR="001A2A6D" w:rsidRPr="00066928">
              <w:rPr>
                <w:b/>
                <w:sz w:val="20"/>
                <w:szCs w:val="20"/>
              </w:rPr>
              <w:t>financial</w:t>
            </w:r>
            <w:r w:rsidRPr="00066928">
              <w:rPr>
                <w:b/>
                <w:sz w:val="20"/>
                <w:szCs w:val="20"/>
              </w:rPr>
              <w:t xml:space="preserve"> aid</w:t>
            </w:r>
            <w:r>
              <w:rPr>
                <w:b/>
                <w:sz w:val="20"/>
                <w:szCs w:val="20"/>
              </w:rPr>
              <w:t>,</w:t>
            </w:r>
            <w:r w:rsidRPr="00066928">
              <w:rPr>
                <w:b/>
                <w:sz w:val="20"/>
                <w:szCs w:val="20"/>
              </w:rPr>
              <w:t xml:space="preserve"> Guided pathways and basic skills integration</w:t>
            </w:r>
            <w:r>
              <w:rPr>
                <w:b/>
                <w:sz w:val="20"/>
                <w:szCs w:val="20"/>
              </w:rPr>
              <w:t>.</w:t>
            </w:r>
          </w:p>
          <w:p w:rsidR="009D278E" w:rsidRDefault="009D278E" w:rsidP="001A2A6D">
            <w:pPr>
              <w:pStyle w:val="ListParagraph"/>
              <w:ind w:left="256" w:hanging="256"/>
              <w:rPr>
                <w:i/>
                <w:sz w:val="20"/>
                <w:szCs w:val="20"/>
              </w:rPr>
            </w:pPr>
            <w:r w:rsidRPr="00066928">
              <w:rPr>
                <w:i/>
                <w:sz w:val="20"/>
                <w:szCs w:val="20"/>
              </w:rPr>
              <w:t xml:space="preserve"> </w:t>
            </w:r>
          </w:p>
          <w:p w:rsidR="009D278E" w:rsidRPr="00066928" w:rsidRDefault="009D278E" w:rsidP="001A2A6D">
            <w:pPr>
              <w:pStyle w:val="ListParagraph"/>
              <w:numPr>
                <w:ilvl w:val="0"/>
                <w:numId w:val="22"/>
              </w:numPr>
              <w:ind w:left="256" w:hanging="256"/>
              <w:rPr>
                <w:i/>
                <w:sz w:val="20"/>
                <w:szCs w:val="20"/>
              </w:rPr>
            </w:pPr>
            <w:r>
              <w:rPr>
                <w:b/>
                <w:sz w:val="20"/>
                <w:szCs w:val="20"/>
              </w:rPr>
              <w:t xml:space="preserve">Provide customized orientation for basic </w:t>
            </w:r>
            <w:r>
              <w:rPr>
                <w:b/>
                <w:sz w:val="20"/>
                <w:szCs w:val="20"/>
              </w:rPr>
              <w:t>education (BEdA)</w:t>
            </w:r>
            <w:r>
              <w:rPr>
                <w:b/>
                <w:sz w:val="20"/>
                <w:szCs w:val="20"/>
              </w:rPr>
              <w:t xml:space="preserve"> transition students.</w:t>
            </w:r>
          </w:p>
        </w:tc>
        <w:tc>
          <w:tcPr>
            <w:tcW w:w="3330" w:type="dxa"/>
            <w:shd w:val="clear" w:color="auto" w:fill="FDE9D9" w:themeFill="accent6" w:themeFillTint="33"/>
          </w:tcPr>
          <w:p w:rsidR="009D278E" w:rsidRPr="00C82586" w:rsidRDefault="009D278E" w:rsidP="00064C77">
            <w:pPr>
              <w:rPr>
                <w:i/>
                <w:color w:val="FF0000"/>
                <w:sz w:val="20"/>
                <w:szCs w:val="20"/>
              </w:rPr>
            </w:pPr>
            <w:r w:rsidRPr="00C82586">
              <w:rPr>
                <w:b/>
                <w:i/>
                <w:sz w:val="20"/>
                <w:szCs w:val="20"/>
              </w:rPr>
              <w:t>Council for Basic Skills (CBS)</w:t>
            </w:r>
          </w:p>
        </w:tc>
      </w:tr>
      <w:tr w:rsidR="009D278E" w:rsidRPr="00066928" w:rsidTr="00C72D8C">
        <w:tc>
          <w:tcPr>
            <w:tcW w:w="1800" w:type="dxa"/>
            <w:tcBorders>
              <w:bottom w:val="nil"/>
            </w:tcBorders>
          </w:tcPr>
          <w:p w:rsidR="009D278E" w:rsidRPr="00066928" w:rsidRDefault="009D278E" w:rsidP="00F2416E">
            <w:pPr>
              <w:spacing w:line="259" w:lineRule="auto"/>
              <w:contextualSpacing/>
              <w:rPr>
                <w:b/>
                <w:sz w:val="20"/>
                <w:szCs w:val="20"/>
              </w:rPr>
            </w:pPr>
            <w:r w:rsidRPr="00066928">
              <w:rPr>
                <w:b/>
                <w:sz w:val="20"/>
                <w:szCs w:val="20"/>
              </w:rPr>
              <w:t>4.Retention/Persistence</w:t>
            </w:r>
          </w:p>
        </w:tc>
        <w:tc>
          <w:tcPr>
            <w:tcW w:w="1800" w:type="dxa"/>
            <w:shd w:val="clear" w:color="auto" w:fill="DBE5F1" w:themeFill="accent1" w:themeFillTint="33"/>
          </w:tcPr>
          <w:p w:rsidR="009D278E" w:rsidRPr="00C82586" w:rsidRDefault="009D278E" w:rsidP="00F2416E">
            <w:pPr>
              <w:ind w:left="250" w:hanging="250"/>
              <w:rPr>
                <w:b/>
                <w:color w:val="5F497A" w:themeColor="accent4" w:themeShade="BF"/>
                <w:sz w:val="20"/>
                <w:szCs w:val="20"/>
              </w:rPr>
            </w:pPr>
            <w:r w:rsidRPr="00066928">
              <w:rPr>
                <w:b/>
                <w:sz w:val="20"/>
                <w:szCs w:val="20"/>
              </w:rPr>
              <w:t xml:space="preserve">4.1 </w:t>
            </w:r>
            <w:r w:rsidRPr="00C82586">
              <w:rPr>
                <w:b/>
                <w:color w:val="5F497A" w:themeColor="accent4" w:themeShade="BF"/>
                <w:sz w:val="20"/>
                <w:szCs w:val="20"/>
              </w:rPr>
              <w:t>Increase the number of students who successfully complete the first 30 college level credits with an emphasis on bridging the equity gap.</w:t>
            </w:r>
          </w:p>
          <w:p w:rsidR="009D278E" w:rsidRPr="00C82586" w:rsidRDefault="009D278E" w:rsidP="00F2416E">
            <w:pPr>
              <w:ind w:left="250" w:hanging="250"/>
              <w:rPr>
                <w:b/>
                <w:color w:val="5F497A" w:themeColor="accent4" w:themeShade="BF"/>
                <w:sz w:val="20"/>
                <w:szCs w:val="20"/>
              </w:rPr>
            </w:pPr>
          </w:p>
          <w:p w:rsidR="009D278E" w:rsidRPr="00C82586" w:rsidRDefault="009D278E" w:rsidP="00F2416E">
            <w:pPr>
              <w:rPr>
                <w:b/>
                <w:color w:val="5F497A" w:themeColor="accent4" w:themeShade="BF"/>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rPr>
                <w:b/>
                <w:sz w:val="20"/>
                <w:szCs w:val="20"/>
              </w:rPr>
            </w:pPr>
          </w:p>
          <w:p w:rsidR="009D278E" w:rsidRPr="00066928" w:rsidRDefault="009D278E" w:rsidP="00F2416E">
            <w:pPr>
              <w:ind w:left="340" w:hanging="340"/>
              <w:rPr>
                <w:sz w:val="20"/>
                <w:szCs w:val="20"/>
              </w:rPr>
            </w:pPr>
          </w:p>
        </w:tc>
        <w:tc>
          <w:tcPr>
            <w:tcW w:w="2970" w:type="dxa"/>
            <w:shd w:val="clear" w:color="auto" w:fill="EEECE1" w:themeFill="background2"/>
          </w:tcPr>
          <w:p w:rsidR="009D278E" w:rsidRPr="00066928" w:rsidRDefault="009D278E" w:rsidP="00F2416E">
            <w:pPr>
              <w:pStyle w:val="ListParagraph"/>
              <w:numPr>
                <w:ilvl w:val="0"/>
                <w:numId w:val="30"/>
              </w:numPr>
              <w:ind w:left="166" w:hanging="180"/>
              <w:rPr>
                <w:sz w:val="20"/>
                <w:szCs w:val="20"/>
              </w:rPr>
            </w:pPr>
            <w:r w:rsidRPr="00066928">
              <w:rPr>
                <w:sz w:val="20"/>
                <w:szCs w:val="20"/>
              </w:rPr>
              <w:lastRenderedPageBreak/>
              <w:t>Approximately 50% of 37,000 new award-seeking students in a year are completing 30 college credits by their second year.</w:t>
            </w:r>
          </w:p>
          <w:p w:rsidR="009D278E" w:rsidRPr="00066928" w:rsidRDefault="009D278E" w:rsidP="00F2416E">
            <w:pPr>
              <w:pStyle w:val="ListParagraph"/>
              <w:numPr>
                <w:ilvl w:val="0"/>
                <w:numId w:val="30"/>
              </w:numPr>
              <w:ind w:left="166" w:hanging="180"/>
              <w:rPr>
                <w:sz w:val="20"/>
                <w:szCs w:val="20"/>
              </w:rPr>
            </w:pPr>
            <w:r w:rsidRPr="00066928">
              <w:rPr>
                <w:sz w:val="20"/>
                <w:szCs w:val="20"/>
              </w:rPr>
              <w:t xml:space="preserve">Approximately 18,000 new award-seeking students are not completing 30 college credits by their second year. </w:t>
            </w:r>
          </w:p>
          <w:p w:rsidR="009D278E" w:rsidRPr="00066928" w:rsidRDefault="009D278E" w:rsidP="00F2416E">
            <w:pPr>
              <w:pStyle w:val="ListParagraph"/>
              <w:numPr>
                <w:ilvl w:val="0"/>
                <w:numId w:val="30"/>
              </w:numPr>
              <w:ind w:left="166" w:hanging="180"/>
              <w:rPr>
                <w:sz w:val="20"/>
                <w:szCs w:val="20"/>
              </w:rPr>
            </w:pPr>
            <w:r w:rsidRPr="00066928">
              <w:rPr>
                <w:sz w:val="20"/>
                <w:szCs w:val="20"/>
              </w:rPr>
              <w:t>Lower rate for HU students of color (45%).</w:t>
            </w:r>
          </w:p>
          <w:p w:rsidR="009D278E" w:rsidRPr="00066928" w:rsidRDefault="009D278E" w:rsidP="00F2416E">
            <w:pPr>
              <w:rPr>
                <w:b/>
                <w:sz w:val="20"/>
                <w:szCs w:val="20"/>
              </w:rPr>
            </w:pPr>
          </w:p>
        </w:tc>
        <w:tc>
          <w:tcPr>
            <w:tcW w:w="4320" w:type="dxa"/>
            <w:shd w:val="clear" w:color="auto" w:fill="FDE9D9" w:themeFill="accent6" w:themeFillTint="33"/>
          </w:tcPr>
          <w:p w:rsidR="009D278E" w:rsidRPr="00C72D8C" w:rsidRDefault="009D278E" w:rsidP="001A2A6D">
            <w:pPr>
              <w:pStyle w:val="PlainText"/>
              <w:numPr>
                <w:ilvl w:val="0"/>
                <w:numId w:val="34"/>
              </w:numPr>
              <w:tabs>
                <w:tab w:val="left" w:pos="1440"/>
              </w:tabs>
              <w:ind w:left="256" w:hanging="270"/>
              <w:rPr>
                <w:rFonts w:asciiTheme="majorHAnsi" w:hAnsiTheme="majorHAnsi" w:cstheme="majorHAnsi"/>
                <w:b/>
                <w:sz w:val="20"/>
                <w:szCs w:val="20"/>
              </w:rPr>
            </w:pPr>
            <w:r w:rsidRPr="00C72D8C">
              <w:rPr>
                <w:rFonts w:asciiTheme="majorHAnsi" w:hAnsiTheme="majorHAnsi" w:cstheme="majorHAnsi"/>
                <w:b/>
                <w:sz w:val="20"/>
                <w:szCs w:val="20"/>
              </w:rPr>
              <w:t xml:space="preserve">Introduce </w:t>
            </w:r>
            <w:r w:rsidRPr="00C72D8C">
              <w:rPr>
                <w:rFonts w:asciiTheme="majorHAnsi" w:hAnsiTheme="majorHAnsi" w:cstheme="majorHAnsi"/>
                <w:b/>
                <w:i/>
                <w:sz w:val="20"/>
                <w:szCs w:val="20"/>
              </w:rPr>
              <w:t>positive</w:t>
            </w:r>
            <w:r w:rsidRPr="00C72D8C">
              <w:rPr>
                <w:rFonts w:asciiTheme="majorHAnsi" w:hAnsiTheme="majorHAnsi" w:cstheme="majorHAnsi"/>
                <w:b/>
                <w:sz w:val="20"/>
                <w:szCs w:val="20"/>
              </w:rPr>
              <w:t xml:space="preserve"> one-on-one student support strategies (e.g. individual student meetings with faculty </w:t>
            </w:r>
            <w:r w:rsidRPr="00C72D8C">
              <w:rPr>
                <w:rFonts w:asciiTheme="majorHAnsi" w:hAnsiTheme="majorHAnsi" w:cstheme="majorHAnsi"/>
                <w:b/>
                <w:sz w:val="20"/>
                <w:szCs w:val="20"/>
                <w:shd w:val="clear" w:color="auto" w:fill="FFFFFF"/>
              </w:rPr>
              <w:t>à</w:t>
            </w:r>
            <w:r w:rsidRPr="00C72D8C">
              <w:rPr>
                <w:rFonts w:asciiTheme="majorHAnsi" w:hAnsiTheme="majorHAnsi" w:cstheme="majorHAnsi"/>
                <w:b/>
                <w:sz w:val="20"/>
                <w:szCs w:val="20"/>
              </w:rPr>
              <w:t xml:space="preserve"> la </w:t>
            </w:r>
            <w:hyperlink r:id="rId8" w:history="1">
              <w:r w:rsidRPr="00C72D8C">
                <w:rPr>
                  <w:rStyle w:val="Hyperlink"/>
                  <w:rFonts w:asciiTheme="majorHAnsi" w:hAnsiTheme="majorHAnsi" w:cstheme="majorHAnsi"/>
                  <w:b/>
                  <w:sz w:val="20"/>
                  <w:szCs w:val="20"/>
                </w:rPr>
                <w:t>Oakton Community College</w:t>
              </w:r>
            </w:hyperlink>
            <w:r w:rsidRPr="00C72D8C">
              <w:rPr>
                <w:rFonts w:asciiTheme="majorHAnsi" w:hAnsiTheme="majorHAnsi" w:cstheme="majorHAnsi"/>
                <w:b/>
                <w:sz w:val="20"/>
                <w:szCs w:val="20"/>
              </w:rPr>
              <w:t>; learning all students’ names; in-class calendaring/time management assignment; student services initial contact; faculty mentorship) to create a sense of belonging for students. (Objectives 4.1, 4.2)</w:t>
            </w:r>
          </w:p>
          <w:p w:rsidR="009D278E" w:rsidRDefault="009D278E" w:rsidP="001A2A6D">
            <w:pPr>
              <w:pStyle w:val="PlainText"/>
              <w:tabs>
                <w:tab w:val="left" w:pos="1440"/>
              </w:tabs>
              <w:ind w:left="256" w:hanging="270"/>
              <w:rPr>
                <w:sz w:val="24"/>
                <w:szCs w:val="24"/>
              </w:rPr>
            </w:pPr>
          </w:p>
          <w:p w:rsidR="009D278E" w:rsidRPr="00C72D8C" w:rsidRDefault="009D278E" w:rsidP="00F2416E">
            <w:pPr>
              <w:pStyle w:val="PlainText"/>
              <w:tabs>
                <w:tab w:val="left" w:pos="1440"/>
              </w:tabs>
              <w:rPr>
                <w:b/>
                <w:sz w:val="20"/>
                <w:szCs w:val="20"/>
              </w:rPr>
            </w:pPr>
          </w:p>
          <w:p w:rsidR="001A2A6D" w:rsidRDefault="009D278E" w:rsidP="001A2A6D">
            <w:pPr>
              <w:pStyle w:val="PlainText"/>
              <w:numPr>
                <w:ilvl w:val="0"/>
                <w:numId w:val="44"/>
              </w:numPr>
              <w:tabs>
                <w:tab w:val="left" w:pos="1440"/>
              </w:tabs>
              <w:rPr>
                <w:b/>
                <w:sz w:val="20"/>
                <w:szCs w:val="20"/>
              </w:rPr>
            </w:pPr>
            <w:r w:rsidRPr="00C72D8C">
              <w:rPr>
                <w:b/>
                <w:sz w:val="20"/>
                <w:szCs w:val="20"/>
              </w:rPr>
              <w:t xml:space="preserve">Provide list of current students not yet enrolled for the next quarter so </w:t>
            </w:r>
            <w:r w:rsidRPr="00C72D8C">
              <w:rPr>
                <w:b/>
                <w:sz w:val="20"/>
                <w:szCs w:val="20"/>
              </w:rPr>
              <w:lastRenderedPageBreak/>
              <w:t>faculty can remind/intervene students to enroll, go to advising, etc.</w:t>
            </w:r>
          </w:p>
          <w:p w:rsidR="009D278E" w:rsidRPr="001A2A6D" w:rsidRDefault="009D278E" w:rsidP="001A2A6D">
            <w:pPr>
              <w:pStyle w:val="PlainText"/>
              <w:numPr>
                <w:ilvl w:val="0"/>
                <w:numId w:val="44"/>
              </w:numPr>
              <w:tabs>
                <w:tab w:val="left" w:pos="1440"/>
              </w:tabs>
              <w:rPr>
                <w:b/>
                <w:sz w:val="20"/>
                <w:szCs w:val="20"/>
              </w:rPr>
            </w:pPr>
            <w:r w:rsidRPr="001A2A6D">
              <w:rPr>
                <w:b/>
                <w:sz w:val="20"/>
                <w:szCs w:val="20"/>
              </w:rPr>
              <w:t>Provide statewide professional development (from SBCTC) on intercultural competency.</w:t>
            </w:r>
          </w:p>
          <w:p w:rsidR="009D278E" w:rsidRDefault="009D278E" w:rsidP="00F2416E">
            <w:pPr>
              <w:pStyle w:val="PlainText"/>
              <w:tabs>
                <w:tab w:val="left" w:pos="1440"/>
              </w:tabs>
              <w:rPr>
                <w:sz w:val="24"/>
                <w:szCs w:val="24"/>
              </w:rPr>
            </w:pPr>
          </w:p>
          <w:p w:rsidR="00C72D8C" w:rsidRDefault="00C72D8C" w:rsidP="00F2416E">
            <w:pPr>
              <w:pStyle w:val="PlainText"/>
              <w:tabs>
                <w:tab w:val="left" w:pos="1440"/>
              </w:tabs>
              <w:rPr>
                <w:sz w:val="24"/>
                <w:szCs w:val="24"/>
              </w:rPr>
            </w:pPr>
          </w:p>
          <w:p w:rsidR="009D278E" w:rsidRPr="00C72D8C" w:rsidRDefault="009D278E" w:rsidP="00F2416E">
            <w:pPr>
              <w:pStyle w:val="PlainText"/>
              <w:numPr>
                <w:ilvl w:val="0"/>
                <w:numId w:val="34"/>
              </w:numPr>
              <w:tabs>
                <w:tab w:val="left" w:pos="1440"/>
              </w:tabs>
              <w:ind w:left="346" w:hanging="374"/>
              <w:rPr>
                <w:b/>
                <w:sz w:val="20"/>
                <w:szCs w:val="20"/>
              </w:rPr>
            </w:pPr>
            <w:r w:rsidRPr="00C72D8C">
              <w:rPr>
                <w:b/>
                <w:sz w:val="20"/>
                <w:szCs w:val="20"/>
              </w:rPr>
              <w:t>Gathering and sharing best practices to support for Accelerated, Stretch, and Pace models. This can include contextualization of math and English and math pathways curriculum at all levels.</w:t>
            </w:r>
            <w:r w:rsidRPr="00C72D8C">
              <w:rPr>
                <w:b/>
                <w:sz w:val="20"/>
                <w:szCs w:val="20"/>
              </w:rPr>
              <w:t xml:space="preserve">  </w:t>
            </w:r>
            <w:r w:rsidRPr="00C72D8C">
              <w:rPr>
                <w:b/>
                <w:sz w:val="20"/>
                <w:szCs w:val="20"/>
              </w:rPr>
              <w:t>(Objectives 4.1, 4.2, 4.3, 4.4)</w:t>
            </w:r>
          </w:p>
          <w:p w:rsidR="009D278E" w:rsidRPr="009B23C3" w:rsidRDefault="009D278E" w:rsidP="00F2416E">
            <w:pPr>
              <w:pStyle w:val="PlainText"/>
              <w:tabs>
                <w:tab w:val="left" w:pos="1440"/>
              </w:tabs>
              <w:rPr>
                <w:sz w:val="24"/>
                <w:szCs w:val="24"/>
              </w:rPr>
            </w:pPr>
          </w:p>
        </w:tc>
        <w:tc>
          <w:tcPr>
            <w:tcW w:w="3330" w:type="dxa"/>
            <w:shd w:val="clear" w:color="auto" w:fill="FDE9D9" w:themeFill="accent6" w:themeFillTint="33"/>
          </w:tcPr>
          <w:p w:rsidR="009D278E" w:rsidRPr="00C82586" w:rsidRDefault="009D278E" w:rsidP="00F2416E">
            <w:pPr>
              <w:pStyle w:val="PlainText"/>
              <w:numPr>
                <w:ilvl w:val="0"/>
                <w:numId w:val="33"/>
              </w:numPr>
              <w:tabs>
                <w:tab w:val="left" w:pos="1440"/>
              </w:tabs>
              <w:ind w:left="346" w:hanging="270"/>
              <w:rPr>
                <w:b/>
                <w:i/>
                <w:sz w:val="20"/>
                <w:szCs w:val="20"/>
              </w:rPr>
            </w:pPr>
            <w:r w:rsidRPr="00C82586">
              <w:rPr>
                <w:b/>
                <w:i/>
                <w:sz w:val="20"/>
                <w:szCs w:val="20"/>
              </w:rPr>
              <w:lastRenderedPageBreak/>
              <w:t>Instruction Commission</w:t>
            </w:r>
          </w:p>
          <w:p w:rsidR="009D278E" w:rsidRPr="00C82586" w:rsidRDefault="009D278E" w:rsidP="00F2416E">
            <w:pPr>
              <w:pStyle w:val="PlainText"/>
              <w:numPr>
                <w:ilvl w:val="0"/>
                <w:numId w:val="33"/>
              </w:numPr>
              <w:tabs>
                <w:tab w:val="left" w:pos="1440"/>
              </w:tabs>
              <w:ind w:left="346" w:hanging="270"/>
              <w:rPr>
                <w:b/>
                <w:i/>
                <w:sz w:val="20"/>
                <w:szCs w:val="20"/>
              </w:rPr>
            </w:pPr>
            <w:r w:rsidRPr="00C82586">
              <w:rPr>
                <w:b/>
                <w:i/>
                <w:sz w:val="20"/>
                <w:szCs w:val="20"/>
              </w:rPr>
              <w:t>Articulation and Transfer Council</w:t>
            </w:r>
          </w:p>
          <w:p w:rsidR="009D278E" w:rsidRPr="00C82586" w:rsidRDefault="009D278E" w:rsidP="00F2416E">
            <w:pPr>
              <w:pStyle w:val="PlainText"/>
              <w:numPr>
                <w:ilvl w:val="0"/>
                <w:numId w:val="33"/>
              </w:numPr>
              <w:tabs>
                <w:tab w:val="left" w:pos="1440"/>
              </w:tabs>
              <w:ind w:left="346" w:hanging="270"/>
              <w:rPr>
                <w:b/>
                <w:i/>
                <w:sz w:val="20"/>
                <w:szCs w:val="20"/>
              </w:rPr>
            </w:pPr>
            <w:r w:rsidRPr="00C82586">
              <w:rPr>
                <w:b/>
                <w:i/>
                <w:sz w:val="20"/>
                <w:szCs w:val="20"/>
              </w:rPr>
              <w:t>FACTC</w:t>
            </w:r>
          </w:p>
          <w:p w:rsidR="009D278E" w:rsidRPr="00C82586" w:rsidRDefault="009D278E" w:rsidP="00F2416E">
            <w:pPr>
              <w:pStyle w:val="PlainText"/>
              <w:numPr>
                <w:ilvl w:val="0"/>
                <w:numId w:val="33"/>
              </w:numPr>
              <w:tabs>
                <w:tab w:val="left" w:pos="1440"/>
              </w:tabs>
              <w:ind w:left="346" w:hanging="270"/>
              <w:rPr>
                <w:b/>
                <w:i/>
                <w:sz w:val="20"/>
                <w:szCs w:val="20"/>
              </w:rPr>
            </w:pPr>
            <w:r w:rsidRPr="00C82586">
              <w:rPr>
                <w:b/>
                <w:i/>
                <w:sz w:val="20"/>
                <w:szCs w:val="20"/>
              </w:rPr>
              <w:t>State Board</w:t>
            </w:r>
          </w:p>
          <w:p w:rsidR="009D278E" w:rsidRPr="00C72D8C" w:rsidRDefault="009D278E" w:rsidP="00F2416E">
            <w:pPr>
              <w:rPr>
                <w:b/>
                <w:sz w:val="20"/>
                <w:szCs w:val="20"/>
              </w:rPr>
            </w:pPr>
          </w:p>
          <w:p w:rsidR="00C72D8C" w:rsidRPr="00C82586" w:rsidRDefault="00C72D8C" w:rsidP="00F2416E">
            <w:pPr>
              <w:rPr>
                <w:b/>
                <w:color w:val="4F6228" w:themeColor="accent3" w:themeShade="80"/>
                <w:sz w:val="20"/>
                <w:szCs w:val="20"/>
              </w:rPr>
            </w:pPr>
            <w:r w:rsidRPr="00C82586">
              <w:rPr>
                <w:b/>
                <w:color w:val="4F6228" w:themeColor="accent3" w:themeShade="80"/>
                <w:sz w:val="20"/>
                <w:szCs w:val="20"/>
              </w:rPr>
              <w:t>TIMELINE:</w:t>
            </w:r>
          </w:p>
          <w:p w:rsidR="009D278E" w:rsidRPr="00C82586" w:rsidRDefault="009D278E" w:rsidP="00F2416E">
            <w:pPr>
              <w:pStyle w:val="PlainText"/>
              <w:numPr>
                <w:ilvl w:val="0"/>
                <w:numId w:val="36"/>
              </w:numPr>
              <w:tabs>
                <w:tab w:val="left" w:pos="1440"/>
              </w:tabs>
              <w:rPr>
                <w:b/>
                <w:color w:val="4F6228" w:themeColor="accent3" w:themeShade="80"/>
                <w:sz w:val="20"/>
                <w:szCs w:val="20"/>
              </w:rPr>
            </w:pPr>
            <w:r w:rsidRPr="00C82586">
              <w:rPr>
                <w:b/>
                <w:color w:val="4F6228" w:themeColor="accent3" w:themeShade="80"/>
                <w:sz w:val="20"/>
                <w:szCs w:val="20"/>
              </w:rPr>
              <w:t>Talk to Oakton with list of questions. Can someone from Oakton provide professional development to any and all faculty and staff?</w:t>
            </w:r>
          </w:p>
          <w:p w:rsidR="009D278E" w:rsidRPr="00C82586" w:rsidRDefault="009D278E" w:rsidP="00F2416E">
            <w:pPr>
              <w:pStyle w:val="ListParagraph"/>
              <w:numPr>
                <w:ilvl w:val="0"/>
                <w:numId w:val="36"/>
              </w:numPr>
              <w:rPr>
                <w:b/>
                <w:color w:val="4F6228" w:themeColor="accent3" w:themeShade="80"/>
                <w:sz w:val="20"/>
                <w:szCs w:val="20"/>
              </w:rPr>
            </w:pPr>
            <w:r w:rsidRPr="00C82586">
              <w:rPr>
                <w:b/>
                <w:color w:val="4F6228" w:themeColor="accent3" w:themeShade="80"/>
                <w:sz w:val="20"/>
                <w:szCs w:val="20"/>
              </w:rPr>
              <w:t>Survey system to determine if colleges are already engaging in strategies similar to the Oakton (or other one-on-one) models. Also include questions related to if colleges are not involved in such strategies.</w:t>
            </w:r>
          </w:p>
          <w:p w:rsidR="009D278E" w:rsidRPr="00C82586" w:rsidRDefault="009D278E" w:rsidP="00F2416E">
            <w:pPr>
              <w:pStyle w:val="ListParagraph"/>
              <w:rPr>
                <w:b/>
                <w:color w:val="4F6228" w:themeColor="accent3" w:themeShade="80"/>
                <w:sz w:val="20"/>
                <w:szCs w:val="20"/>
              </w:rPr>
            </w:pPr>
          </w:p>
          <w:p w:rsidR="00C72D8C" w:rsidRDefault="00C72D8C" w:rsidP="00F2416E">
            <w:pPr>
              <w:rPr>
                <w:b/>
                <w:sz w:val="20"/>
                <w:szCs w:val="20"/>
              </w:rPr>
            </w:pPr>
          </w:p>
          <w:p w:rsidR="00C72D8C" w:rsidRPr="00C72D8C" w:rsidRDefault="00C72D8C" w:rsidP="00F2416E">
            <w:pPr>
              <w:rPr>
                <w:b/>
                <w:sz w:val="20"/>
                <w:szCs w:val="20"/>
              </w:rPr>
            </w:pPr>
          </w:p>
          <w:p w:rsidR="009D278E" w:rsidRPr="00C82586" w:rsidRDefault="009D278E" w:rsidP="00F2416E">
            <w:pPr>
              <w:pStyle w:val="PlainText"/>
              <w:numPr>
                <w:ilvl w:val="0"/>
                <w:numId w:val="38"/>
              </w:numPr>
              <w:tabs>
                <w:tab w:val="left" w:pos="1440"/>
              </w:tabs>
              <w:rPr>
                <w:b/>
                <w:i/>
                <w:sz w:val="20"/>
                <w:szCs w:val="20"/>
              </w:rPr>
            </w:pPr>
            <w:r w:rsidRPr="00C82586">
              <w:rPr>
                <w:b/>
                <w:i/>
                <w:sz w:val="20"/>
                <w:szCs w:val="20"/>
              </w:rPr>
              <w:t>Assessment, Teaching and Learning</w:t>
            </w:r>
          </w:p>
          <w:p w:rsidR="009D278E" w:rsidRPr="00C82586" w:rsidRDefault="009D278E" w:rsidP="00F2416E">
            <w:pPr>
              <w:pStyle w:val="PlainText"/>
              <w:numPr>
                <w:ilvl w:val="0"/>
                <w:numId w:val="38"/>
              </w:numPr>
              <w:tabs>
                <w:tab w:val="left" w:pos="1440"/>
              </w:tabs>
              <w:rPr>
                <w:b/>
                <w:i/>
                <w:sz w:val="20"/>
                <w:szCs w:val="20"/>
              </w:rPr>
            </w:pPr>
            <w:r w:rsidRPr="00C82586">
              <w:rPr>
                <w:b/>
                <w:i/>
                <w:sz w:val="20"/>
                <w:szCs w:val="20"/>
              </w:rPr>
              <w:t>State Board</w:t>
            </w:r>
          </w:p>
          <w:p w:rsidR="009D278E" w:rsidRPr="00C82586" w:rsidRDefault="009D278E" w:rsidP="00F2416E">
            <w:pPr>
              <w:pStyle w:val="PlainText"/>
              <w:numPr>
                <w:ilvl w:val="0"/>
                <w:numId w:val="38"/>
              </w:numPr>
              <w:tabs>
                <w:tab w:val="left" w:pos="1440"/>
              </w:tabs>
              <w:rPr>
                <w:b/>
                <w:i/>
                <w:sz w:val="20"/>
                <w:szCs w:val="20"/>
              </w:rPr>
            </w:pPr>
            <w:r w:rsidRPr="00C82586">
              <w:rPr>
                <w:b/>
                <w:i/>
                <w:sz w:val="20"/>
                <w:szCs w:val="20"/>
              </w:rPr>
              <w:t>WACTC</w:t>
            </w:r>
          </w:p>
          <w:p w:rsidR="009D278E" w:rsidRPr="00C82586" w:rsidRDefault="009D278E" w:rsidP="00F2416E">
            <w:pPr>
              <w:pStyle w:val="PlainText"/>
              <w:numPr>
                <w:ilvl w:val="0"/>
                <w:numId w:val="38"/>
              </w:numPr>
              <w:tabs>
                <w:tab w:val="left" w:pos="1440"/>
              </w:tabs>
              <w:rPr>
                <w:b/>
                <w:i/>
                <w:sz w:val="20"/>
                <w:szCs w:val="20"/>
              </w:rPr>
            </w:pPr>
            <w:r w:rsidRPr="00C82586">
              <w:rPr>
                <w:b/>
                <w:i/>
                <w:sz w:val="20"/>
                <w:szCs w:val="20"/>
              </w:rPr>
              <w:t>Pathways</w:t>
            </w:r>
          </w:p>
          <w:p w:rsidR="009D278E" w:rsidRPr="00C82586" w:rsidRDefault="009D278E" w:rsidP="00F2416E">
            <w:pPr>
              <w:pStyle w:val="PlainText"/>
              <w:numPr>
                <w:ilvl w:val="0"/>
                <w:numId w:val="38"/>
              </w:numPr>
              <w:tabs>
                <w:tab w:val="left" w:pos="1440"/>
              </w:tabs>
              <w:rPr>
                <w:b/>
                <w:i/>
                <w:sz w:val="20"/>
                <w:szCs w:val="20"/>
              </w:rPr>
            </w:pPr>
            <w:r w:rsidRPr="00C82586">
              <w:rPr>
                <w:b/>
                <w:i/>
                <w:sz w:val="20"/>
                <w:szCs w:val="20"/>
              </w:rPr>
              <w:t>Instruction Commission</w:t>
            </w:r>
          </w:p>
          <w:p w:rsidR="009D278E" w:rsidRPr="00C82586" w:rsidRDefault="009D278E" w:rsidP="00F2416E">
            <w:pPr>
              <w:pStyle w:val="PlainText"/>
              <w:numPr>
                <w:ilvl w:val="0"/>
                <w:numId w:val="38"/>
              </w:numPr>
              <w:tabs>
                <w:tab w:val="left" w:pos="1440"/>
              </w:tabs>
              <w:rPr>
                <w:b/>
                <w:i/>
                <w:sz w:val="20"/>
                <w:szCs w:val="20"/>
              </w:rPr>
            </w:pPr>
            <w:r w:rsidRPr="00C82586">
              <w:rPr>
                <w:b/>
                <w:i/>
                <w:sz w:val="20"/>
                <w:szCs w:val="20"/>
              </w:rPr>
              <w:t>Articulation and Transfer Council</w:t>
            </w:r>
          </w:p>
          <w:p w:rsidR="009D278E" w:rsidRDefault="009D278E" w:rsidP="00F2416E">
            <w:pPr>
              <w:rPr>
                <w:b/>
                <w:sz w:val="20"/>
                <w:szCs w:val="20"/>
              </w:rPr>
            </w:pPr>
          </w:p>
          <w:p w:rsidR="00C72D8C" w:rsidRPr="00C82586" w:rsidRDefault="00C72D8C" w:rsidP="00F2416E">
            <w:pPr>
              <w:rPr>
                <w:b/>
                <w:color w:val="4F6228" w:themeColor="accent3" w:themeShade="80"/>
                <w:sz w:val="20"/>
                <w:szCs w:val="20"/>
              </w:rPr>
            </w:pPr>
            <w:r w:rsidRPr="00C82586">
              <w:rPr>
                <w:b/>
                <w:color w:val="4F6228" w:themeColor="accent3" w:themeShade="80"/>
                <w:sz w:val="20"/>
                <w:szCs w:val="20"/>
              </w:rPr>
              <w:t xml:space="preserve">TIMELINE: </w:t>
            </w:r>
          </w:p>
          <w:p w:rsidR="00C72D8C" w:rsidRPr="00C82586" w:rsidRDefault="00C72D8C" w:rsidP="00C72D8C">
            <w:pPr>
              <w:pStyle w:val="PlainText"/>
              <w:numPr>
                <w:ilvl w:val="0"/>
                <w:numId w:val="38"/>
              </w:numPr>
              <w:tabs>
                <w:tab w:val="left" w:pos="1440"/>
              </w:tabs>
              <w:rPr>
                <w:b/>
                <w:color w:val="4F6228" w:themeColor="accent3" w:themeShade="80"/>
                <w:sz w:val="20"/>
                <w:szCs w:val="20"/>
              </w:rPr>
            </w:pPr>
            <w:r w:rsidRPr="00C82586">
              <w:rPr>
                <w:b/>
                <w:color w:val="4F6228" w:themeColor="accent3" w:themeShade="80"/>
                <w:sz w:val="20"/>
                <w:szCs w:val="20"/>
              </w:rPr>
              <w:t>Gather models already in use (e.g. Highline for math, SPSCC accelerated models for math and English).</w:t>
            </w:r>
          </w:p>
          <w:p w:rsidR="00C72D8C" w:rsidRPr="00C82586" w:rsidRDefault="00C72D8C" w:rsidP="00C72D8C">
            <w:pPr>
              <w:pStyle w:val="PlainText"/>
              <w:numPr>
                <w:ilvl w:val="0"/>
                <w:numId w:val="38"/>
              </w:numPr>
              <w:tabs>
                <w:tab w:val="left" w:pos="1440"/>
              </w:tabs>
              <w:rPr>
                <w:b/>
                <w:color w:val="4F6228" w:themeColor="accent3" w:themeShade="80"/>
                <w:sz w:val="20"/>
                <w:szCs w:val="20"/>
              </w:rPr>
            </w:pPr>
            <w:r w:rsidRPr="00C82586">
              <w:rPr>
                <w:b/>
                <w:color w:val="4F6228" w:themeColor="accent3" w:themeShade="80"/>
                <w:sz w:val="20"/>
                <w:szCs w:val="20"/>
              </w:rPr>
              <w:t>Schedule through ATL professional development for fall 2018 by in-state practitioners.</w:t>
            </w:r>
          </w:p>
          <w:p w:rsidR="00C72D8C" w:rsidRPr="00F2416E" w:rsidRDefault="00C72D8C" w:rsidP="00C72D8C">
            <w:pPr>
              <w:rPr>
                <w:b/>
                <w:sz w:val="20"/>
                <w:szCs w:val="20"/>
              </w:rPr>
            </w:pPr>
            <w:r w:rsidRPr="00C82586">
              <w:rPr>
                <w:b/>
                <w:color w:val="4F6228" w:themeColor="accent3" w:themeShade="80"/>
                <w:sz w:val="20"/>
                <w:szCs w:val="20"/>
              </w:rPr>
              <w:t>Develop professional development agenda and goals.</w:t>
            </w:r>
          </w:p>
        </w:tc>
      </w:tr>
      <w:tr w:rsidR="009D278E" w:rsidRPr="00066928" w:rsidTr="00C72D8C">
        <w:tc>
          <w:tcPr>
            <w:tcW w:w="1800" w:type="dxa"/>
            <w:tcBorders>
              <w:top w:val="nil"/>
              <w:bottom w:val="nil"/>
            </w:tcBorders>
          </w:tcPr>
          <w:p w:rsidR="009D278E" w:rsidRPr="00066928" w:rsidRDefault="009D278E" w:rsidP="00F2416E">
            <w:pPr>
              <w:pBdr>
                <w:bottom w:val="none" w:sz="0" w:space="0" w:color="auto"/>
              </w:pBdr>
              <w:contextualSpacing/>
              <w:rPr>
                <w:b/>
                <w:sz w:val="20"/>
                <w:szCs w:val="20"/>
              </w:rPr>
            </w:pPr>
          </w:p>
        </w:tc>
        <w:tc>
          <w:tcPr>
            <w:tcW w:w="1800" w:type="dxa"/>
            <w:shd w:val="clear" w:color="auto" w:fill="DBE5F1" w:themeFill="accent1" w:themeFillTint="33"/>
          </w:tcPr>
          <w:p w:rsidR="009D278E" w:rsidRPr="00066928" w:rsidRDefault="009D278E" w:rsidP="00F2416E">
            <w:pPr>
              <w:ind w:left="250" w:hanging="250"/>
              <w:rPr>
                <w:b/>
                <w:sz w:val="20"/>
                <w:szCs w:val="20"/>
              </w:rPr>
            </w:pPr>
            <w:r w:rsidRPr="00066928">
              <w:rPr>
                <w:b/>
                <w:sz w:val="20"/>
                <w:szCs w:val="20"/>
              </w:rPr>
              <w:t>4.</w:t>
            </w:r>
            <w:r w:rsidRPr="00C82586">
              <w:rPr>
                <w:b/>
                <w:color w:val="5F497A" w:themeColor="accent4" w:themeShade="BF"/>
                <w:sz w:val="20"/>
                <w:szCs w:val="20"/>
              </w:rPr>
              <w:t>2 Increase the number of students continuing to enroll through the first 45 credits with an emphasis on bridging the equity gap.</w:t>
            </w:r>
          </w:p>
          <w:p w:rsidR="009D278E" w:rsidRPr="00066928" w:rsidRDefault="009D278E" w:rsidP="00F2416E">
            <w:pPr>
              <w:ind w:left="340" w:hanging="340"/>
              <w:rPr>
                <w:b/>
                <w:sz w:val="20"/>
                <w:szCs w:val="20"/>
              </w:rPr>
            </w:pPr>
          </w:p>
        </w:tc>
        <w:tc>
          <w:tcPr>
            <w:tcW w:w="2970" w:type="dxa"/>
            <w:shd w:val="clear" w:color="auto" w:fill="EEECE1" w:themeFill="background2"/>
          </w:tcPr>
          <w:p w:rsidR="009D278E" w:rsidRPr="00066928" w:rsidRDefault="009D278E" w:rsidP="00F2416E">
            <w:pPr>
              <w:pStyle w:val="ListParagraph"/>
              <w:numPr>
                <w:ilvl w:val="0"/>
                <w:numId w:val="18"/>
              </w:numPr>
              <w:ind w:left="166" w:hanging="180"/>
              <w:rPr>
                <w:sz w:val="20"/>
                <w:szCs w:val="20"/>
              </w:rPr>
            </w:pPr>
            <w:r w:rsidRPr="00066928">
              <w:rPr>
                <w:sz w:val="20"/>
                <w:szCs w:val="20"/>
              </w:rPr>
              <w:t>Approximately 30% of 37,000 new award-seeking students in a year are completing 45 college credits by their second year.</w:t>
            </w:r>
          </w:p>
          <w:p w:rsidR="009D278E" w:rsidRPr="00066928" w:rsidRDefault="009D278E" w:rsidP="00F2416E">
            <w:pPr>
              <w:pStyle w:val="ListParagraph"/>
              <w:numPr>
                <w:ilvl w:val="0"/>
                <w:numId w:val="18"/>
              </w:numPr>
              <w:ind w:left="166" w:hanging="180"/>
              <w:rPr>
                <w:sz w:val="20"/>
                <w:szCs w:val="20"/>
              </w:rPr>
            </w:pPr>
            <w:r w:rsidRPr="00066928">
              <w:rPr>
                <w:sz w:val="20"/>
                <w:szCs w:val="20"/>
              </w:rPr>
              <w:t>Approximately, 26,000 new award-seeking students are not completing 45 college credits by their second year.</w:t>
            </w:r>
          </w:p>
          <w:p w:rsidR="009D278E" w:rsidRPr="00066928" w:rsidRDefault="009D278E" w:rsidP="00F2416E">
            <w:pPr>
              <w:pStyle w:val="ListParagraph"/>
              <w:numPr>
                <w:ilvl w:val="0"/>
                <w:numId w:val="18"/>
              </w:numPr>
              <w:ind w:left="166" w:hanging="180"/>
              <w:rPr>
                <w:sz w:val="20"/>
                <w:szCs w:val="20"/>
              </w:rPr>
            </w:pPr>
            <w:r w:rsidRPr="00066928">
              <w:rPr>
                <w:sz w:val="20"/>
                <w:szCs w:val="20"/>
              </w:rPr>
              <w:t xml:space="preserve">Lower rate for HU students of color (23%). </w:t>
            </w:r>
          </w:p>
        </w:tc>
        <w:tc>
          <w:tcPr>
            <w:tcW w:w="4320" w:type="dxa"/>
            <w:shd w:val="clear" w:color="auto" w:fill="FDE9D9" w:themeFill="accent6" w:themeFillTint="33"/>
          </w:tcPr>
          <w:p w:rsidR="009D278E" w:rsidRPr="001A2A6D" w:rsidRDefault="009D278E" w:rsidP="00F2416E">
            <w:pPr>
              <w:rPr>
                <w:b/>
                <w:i/>
                <w:sz w:val="20"/>
                <w:szCs w:val="20"/>
              </w:rPr>
            </w:pPr>
          </w:p>
          <w:p w:rsidR="009D278E" w:rsidRPr="001A2A6D" w:rsidRDefault="009D278E" w:rsidP="00F2416E">
            <w:pPr>
              <w:rPr>
                <w:b/>
                <w:i/>
                <w:sz w:val="20"/>
                <w:szCs w:val="20"/>
              </w:rPr>
            </w:pPr>
            <w:r w:rsidRPr="001A2A6D">
              <w:rPr>
                <w:b/>
                <w:i/>
                <w:sz w:val="20"/>
                <w:szCs w:val="20"/>
              </w:rPr>
              <w:t>See Above.</w:t>
            </w:r>
          </w:p>
        </w:tc>
        <w:tc>
          <w:tcPr>
            <w:tcW w:w="3330" w:type="dxa"/>
            <w:shd w:val="clear" w:color="auto" w:fill="FDE9D9" w:themeFill="accent6" w:themeFillTint="33"/>
          </w:tcPr>
          <w:p w:rsidR="009D278E" w:rsidRPr="00066928" w:rsidRDefault="009D278E" w:rsidP="00F2416E">
            <w:pPr>
              <w:rPr>
                <w:i/>
                <w:sz w:val="20"/>
                <w:szCs w:val="20"/>
              </w:rPr>
            </w:pPr>
          </w:p>
        </w:tc>
      </w:tr>
      <w:tr w:rsidR="009D278E" w:rsidRPr="00066928" w:rsidTr="00C72D8C">
        <w:tc>
          <w:tcPr>
            <w:tcW w:w="1800" w:type="dxa"/>
            <w:tcBorders>
              <w:top w:val="nil"/>
              <w:bottom w:val="nil"/>
            </w:tcBorders>
          </w:tcPr>
          <w:p w:rsidR="009D278E" w:rsidRPr="00066928" w:rsidRDefault="009D278E" w:rsidP="00F2416E">
            <w:pPr>
              <w:ind w:left="250"/>
              <w:contextualSpacing/>
              <w:rPr>
                <w:b/>
                <w:sz w:val="20"/>
                <w:szCs w:val="20"/>
              </w:rPr>
            </w:pPr>
          </w:p>
        </w:tc>
        <w:tc>
          <w:tcPr>
            <w:tcW w:w="1800" w:type="dxa"/>
            <w:shd w:val="clear" w:color="auto" w:fill="DBE5F1" w:themeFill="accent1" w:themeFillTint="33"/>
          </w:tcPr>
          <w:p w:rsidR="009D278E" w:rsidRPr="00C82586" w:rsidRDefault="009D278E" w:rsidP="00F2416E">
            <w:pPr>
              <w:ind w:left="250" w:hanging="250"/>
              <w:rPr>
                <w:b/>
                <w:color w:val="5F497A" w:themeColor="accent4" w:themeShade="BF"/>
                <w:sz w:val="20"/>
                <w:szCs w:val="20"/>
              </w:rPr>
            </w:pPr>
            <w:r w:rsidRPr="00066928">
              <w:rPr>
                <w:b/>
                <w:sz w:val="20"/>
                <w:szCs w:val="20"/>
              </w:rPr>
              <w:t xml:space="preserve">4.3 </w:t>
            </w:r>
            <w:r w:rsidRPr="00C82586">
              <w:rPr>
                <w:b/>
                <w:color w:val="5F497A" w:themeColor="accent4" w:themeShade="BF"/>
                <w:sz w:val="20"/>
                <w:szCs w:val="20"/>
              </w:rPr>
              <w:t xml:space="preserve">Increase the number of students </w:t>
            </w:r>
            <w:r w:rsidRPr="00C82586">
              <w:rPr>
                <w:b/>
                <w:color w:val="5F497A" w:themeColor="accent4" w:themeShade="BF"/>
                <w:sz w:val="20"/>
                <w:szCs w:val="20"/>
              </w:rPr>
              <w:lastRenderedPageBreak/>
              <w:t>continuing to progress year from year with an emphasis on bridging the equity gap.</w:t>
            </w:r>
          </w:p>
          <w:p w:rsidR="009D278E" w:rsidRPr="00066928" w:rsidRDefault="009D278E" w:rsidP="00F2416E">
            <w:pPr>
              <w:rPr>
                <w:b/>
                <w:sz w:val="20"/>
                <w:szCs w:val="20"/>
              </w:rPr>
            </w:pPr>
          </w:p>
        </w:tc>
        <w:tc>
          <w:tcPr>
            <w:tcW w:w="2970" w:type="dxa"/>
            <w:shd w:val="clear" w:color="auto" w:fill="EEECE1" w:themeFill="background2"/>
          </w:tcPr>
          <w:p w:rsidR="009D278E" w:rsidRPr="00066928" w:rsidRDefault="009D278E" w:rsidP="00F2416E">
            <w:pPr>
              <w:pStyle w:val="ListParagraph"/>
              <w:numPr>
                <w:ilvl w:val="0"/>
                <w:numId w:val="18"/>
              </w:numPr>
              <w:ind w:left="166" w:hanging="180"/>
              <w:rPr>
                <w:sz w:val="20"/>
                <w:szCs w:val="20"/>
              </w:rPr>
            </w:pPr>
            <w:r w:rsidRPr="00066928">
              <w:rPr>
                <w:sz w:val="20"/>
                <w:szCs w:val="20"/>
              </w:rPr>
              <w:lastRenderedPageBreak/>
              <w:t xml:space="preserve">Approximately 46% of 35,000 new award-seeking students in </w:t>
            </w:r>
            <w:r w:rsidRPr="00066928">
              <w:rPr>
                <w:sz w:val="20"/>
                <w:szCs w:val="20"/>
              </w:rPr>
              <w:lastRenderedPageBreak/>
              <w:t>a year are still enrolled the following fall</w:t>
            </w:r>
          </w:p>
          <w:p w:rsidR="009D278E" w:rsidRPr="00066928" w:rsidRDefault="009D278E" w:rsidP="00F2416E">
            <w:pPr>
              <w:pStyle w:val="ListParagraph"/>
              <w:numPr>
                <w:ilvl w:val="0"/>
                <w:numId w:val="18"/>
              </w:numPr>
              <w:ind w:left="166" w:hanging="180"/>
              <w:rPr>
                <w:sz w:val="20"/>
                <w:szCs w:val="20"/>
              </w:rPr>
            </w:pPr>
            <w:r w:rsidRPr="00066928">
              <w:rPr>
                <w:sz w:val="20"/>
                <w:szCs w:val="20"/>
              </w:rPr>
              <w:t>Approximately 19,000 are not still enrolled the following fall</w:t>
            </w:r>
          </w:p>
          <w:p w:rsidR="009D278E" w:rsidRPr="00066928" w:rsidRDefault="009D278E" w:rsidP="00F2416E">
            <w:pPr>
              <w:pStyle w:val="ListParagraph"/>
              <w:numPr>
                <w:ilvl w:val="0"/>
                <w:numId w:val="18"/>
              </w:numPr>
              <w:ind w:left="166" w:hanging="180"/>
              <w:rPr>
                <w:sz w:val="20"/>
                <w:szCs w:val="20"/>
              </w:rPr>
            </w:pPr>
            <w:r w:rsidRPr="00066928">
              <w:rPr>
                <w:sz w:val="20"/>
                <w:szCs w:val="20"/>
              </w:rPr>
              <w:t>Lower rate for HU students of color (44%)</w:t>
            </w:r>
          </w:p>
        </w:tc>
        <w:tc>
          <w:tcPr>
            <w:tcW w:w="4320" w:type="dxa"/>
            <w:shd w:val="clear" w:color="auto" w:fill="FDE9D9" w:themeFill="accent6" w:themeFillTint="33"/>
          </w:tcPr>
          <w:p w:rsidR="009D278E" w:rsidRPr="001A2A6D" w:rsidRDefault="009D278E" w:rsidP="00F2416E">
            <w:pPr>
              <w:rPr>
                <w:b/>
                <w:i/>
                <w:sz w:val="20"/>
                <w:szCs w:val="20"/>
              </w:rPr>
            </w:pPr>
            <w:r w:rsidRPr="001A2A6D">
              <w:rPr>
                <w:b/>
                <w:i/>
                <w:sz w:val="20"/>
                <w:szCs w:val="20"/>
              </w:rPr>
              <w:lastRenderedPageBreak/>
              <w:t>See Above.</w:t>
            </w:r>
          </w:p>
        </w:tc>
        <w:tc>
          <w:tcPr>
            <w:tcW w:w="3330" w:type="dxa"/>
            <w:shd w:val="clear" w:color="auto" w:fill="FDE9D9" w:themeFill="accent6" w:themeFillTint="33"/>
          </w:tcPr>
          <w:p w:rsidR="009D278E" w:rsidRPr="00066928" w:rsidRDefault="009D278E" w:rsidP="00F2416E">
            <w:pPr>
              <w:rPr>
                <w:i/>
                <w:sz w:val="20"/>
                <w:szCs w:val="20"/>
              </w:rPr>
            </w:pPr>
          </w:p>
        </w:tc>
      </w:tr>
      <w:tr w:rsidR="001A2A6D" w:rsidRPr="00066928" w:rsidTr="00C72D8C">
        <w:trPr>
          <w:trHeight w:val="1349"/>
        </w:trPr>
        <w:tc>
          <w:tcPr>
            <w:tcW w:w="1800" w:type="dxa"/>
            <w:tcBorders>
              <w:top w:val="nil"/>
              <w:bottom w:val="nil"/>
            </w:tcBorders>
          </w:tcPr>
          <w:p w:rsidR="001A2A6D" w:rsidRPr="00066928" w:rsidRDefault="001A2A6D" w:rsidP="001A2A6D">
            <w:pPr>
              <w:ind w:left="250"/>
              <w:contextualSpacing/>
              <w:rPr>
                <w:b/>
                <w:sz w:val="20"/>
                <w:szCs w:val="20"/>
              </w:rPr>
            </w:pPr>
          </w:p>
        </w:tc>
        <w:tc>
          <w:tcPr>
            <w:tcW w:w="1800" w:type="dxa"/>
            <w:shd w:val="clear" w:color="auto" w:fill="DBE5F1" w:themeFill="accent1" w:themeFillTint="33"/>
          </w:tcPr>
          <w:p w:rsidR="001A2A6D" w:rsidRPr="00066928" w:rsidRDefault="001A2A6D" w:rsidP="001A2A6D">
            <w:pPr>
              <w:ind w:left="250" w:hanging="250"/>
              <w:rPr>
                <w:b/>
                <w:sz w:val="20"/>
                <w:szCs w:val="20"/>
              </w:rPr>
            </w:pPr>
            <w:r w:rsidRPr="00066928">
              <w:rPr>
                <w:b/>
                <w:sz w:val="20"/>
                <w:szCs w:val="20"/>
              </w:rPr>
              <w:t xml:space="preserve">4.4 </w:t>
            </w:r>
            <w:r w:rsidRPr="00C82586">
              <w:rPr>
                <w:b/>
                <w:color w:val="5F497A" w:themeColor="accent4" w:themeShade="BF"/>
                <w:sz w:val="20"/>
                <w:szCs w:val="20"/>
              </w:rPr>
              <w:t>Increase the number of students who complete college level English and math within the first year with an emphasis on bridging the equity gap.</w:t>
            </w:r>
          </w:p>
        </w:tc>
        <w:tc>
          <w:tcPr>
            <w:tcW w:w="2970" w:type="dxa"/>
            <w:shd w:val="clear" w:color="auto" w:fill="EEECE1" w:themeFill="background2"/>
          </w:tcPr>
          <w:p w:rsidR="001A2A6D" w:rsidRPr="00066928" w:rsidRDefault="001A2A6D" w:rsidP="001A2A6D">
            <w:pPr>
              <w:pStyle w:val="ListParagraph"/>
              <w:numPr>
                <w:ilvl w:val="0"/>
                <w:numId w:val="31"/>
              </w:numPr>
              <w:ind w:left="166" w:hanging="180"/>
              <w:rPr>
                <w:sz w:val="20"/>
                <w:szCs w:val="20"/>
              </w:rPr>
            </w:pPr>
            <w:r w:rsidRPr="00066928">
              <w:rPr>
                <w:sz w:val="20"/>
                <w:szCs w:val="20"/>
              </w:rPr>
              <w:t>Approximately 23% of 37,000 new award-seeking students in a year are completing a college math and English course in their first year</w:t>
            </w:r>
          </w:p>
          <w:p w:rsidR="001A2A6D" w:rsidRPr="00066928" w:rsidRDefault="001A2A6D" w:rsidP="001A2A6D">
            <w:pPr>
              <w:pStyle w:val="ListParagraph"/>
              <w:numPr>
                <w:ilvl w:val="0"/>
                <w:numId w:val="31"/>
              </w:numPr>
              <w:ind w:left="166" w:hanging="180"/>
              <w:rPr>
                <w:sz w:val="20"/>
                <w:szCs w:val="20"/>
              </w:rPr>
            </w:pPr>
            <w:r w:rsidRPr="00066928">
              <w:rPr>
                <w:sz w:val="20"/>
                <w:szCs w:val="20"/>
              </w:rPr>
              <w:t>Approximately 28,000 new award-seeking students are not completing a college math and English course in their first year</w:t>
            </w:r>
          </w:p>
          <w:p w:rsidR="001A2A6D" w:rsidRPr="00066928" w:rsidRDefault="001A2A6D" w:rsidP="001A2A6D">
            <w:pPr>
              <w:pStyle w:val="ListParagraph"/>
              <w:numPr>
                <w:ilvl w:val="0"/>
                <w:numId w:val="31"/>
              </w:numPr>
              <w:ind w:left="166" w:hanging="180"/>
              <w:rPr>
                <w:sz w:val="20"/>
                <w:szCs w:val="20"/>
              </w:rPr>
            </w:pPr>
            <w:r w:rsidRPr="00066928">
              <w:rPr>
                <w:sz w:val="20"/>
                <w:szCs w:val="20"/>
              </w:rPr>
              <w:t>Lower rate for HU students of color (17%) and low-income students (20%)</w:t>
            </w:r>
          </w:p>
        </w:tc>
        <w:tc>
          <w:tcPr>
            <w:tcW w:w="4320" w:type="dxa"/>
            <w:shd w:val="clear" w:color="auto" w:fill="FDE9D9" w:themeFill="accent6" w:themeFillTint="33"/>
          </w:tcPr>
          <w:p w:rsidR="001A2A6D" w:rsidRPr="001A2A6D" w:rsidRDefault="001A2A6D" w:rsidP="001A2A6D">
            <w:pPr>
              <w:rPr>
                <w:b/>
                <w:i/>
                <w:sz w:val="20"/>
                <w:szCs w:val="20"/>
              </w:rPr>
            </w:pPr>
            <w:r w:rsidRPr="001A2A6D">
              <w:rPr>
                <w:b/>
                <w:i/>
                <w:sz w:val="20"/>
                <w:szCs w:val="20"/>
              </w:rPr>
              <w:t>See Above.</w:t>
            </w:r>
          </w:p>
        </w:tc>
        <w:tc>
          <w:tcPr>
            <w:tcW w:w="3330" w:type="dxa"/>
            <w:shd w:val="clear" w:color="auto" w:fill="FDE9D9" w:themeFill="accent6" w:themeFillTint="33"/>
          </w:tcPr>
          <w:p w:rsidR="001A2A6D" w:rsidRPr="00F2416E" w:rsidRDefault="001A2A6D" w:rsidP="001A2A6D">
            <w:pPr>
              <w:rPr>
                <w:sz w:val="20"/>
                <w:szCs w:val="20"/>
              </w:rPr>
            </w:pPr>
          </w:p>
        </w:tc>
      </w:tr>
    </w:tbl>
    <w:p w:rsidR="002B416C" w:rsidRPr="00066928" w:rsidRDefault="002B416C" w:rsidP="00B1240C">
      <w:pPr>
        <w:tabs>
          <w:tab w:val="left" w:pos="1995"/>
        </w:tabs>
        <w:rPr>
          <w:sz w:val="20"/>
          <w:szCs w:val="20"/>
        </w:rPr>
      </w:pPr>
      <w:bookmarkStart w:id="1" w:name="_gjdgxs" w:colFirst="0" w:colLast="0"/>
      <w:bookmarkEnd w:id="1"/>
    </w:p>
    <w:p w:rsidR="001E7E8A" w:rsidRPr="00066928" w:rsidRDefault="001E7E8A" w:rsidP="00824AAC">
      <w:pPr>
        <w:rPr>
          <w:sz w:val="20"/>
          <w:szCs w:val="20"/>
        </w:rPr>
      </w:pPr>
    </w:p>
    <w:sectPr w:rsidR="001E7E8A" w:rsidRPr="00066928" w:rsidSect="00C06B21">
      <w:headerReference w:type="default" r:id="rId9"/>
      <w:footerReference w:type="default" r:id="rId10"/>
      <w:pgSz w:w="15840" w:h="12240" w:orient="landscape"/>
      <w:pgMar w:top="360" w:right="720" w:bottom="630" w:left="7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4C" w:rsidRDefault="005A0633">
      <w:pPr>
        <w:spacing w:after="0" w:line="240" w:lineRule="auto"/>
      </w:pPr>
      <w:r>
        <w:separator/>
      </w:r>
    </w:p>
  </w:endnote>
  <w:endnote w:type="continuationSeparator" w:id="0">
    <w:p w:rsidR="0060484C" w:rsidRDefault="005A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6C" w:rsidRDefault="005A0633">
    <w:pPr>
      <w:tabs>
        <w:tab w:val="center" w:pos="4680"/>
        <w:tab w:val="right" w:pos="9360"/>
      </w:tabs>
      <w:spacing w:after="0" w:line="240" w:lineRule="auto"/>
    </w:pPr>
    <w:r>
      <w:rPr>
        <w:noProof/>
      </w:rPr>
      <mc:AlternateContent>
        <mc:Choice Requires="wpg">
          <w:drawing>
            <wp:anchor distT="0" distB="0" distL="114300" distR="114300" simplePos="0" relativeHeight="251658240" behindDoc="0" locked="0" layoutInCell="1" hidden="0" allowOverlap="1">
              <wp:simplePos x="0" y="0"/>
              <wp:positionH relativeFrom="margin">
                <wp:posOffset>-457199</wp:posOffset>
              </wp:positionH>
              <wp:positionV relativeFrom="paragraph">
                <wp:posOffset>0</wp:posOffset>
              </wp:positionV>
              <wp:extent cx="5943600" cy="419100"/>
              <wp:effectExtent l="0" t="0" r="0" b="0"/>
              <wp:wrapNone/>
              <wp:docPr id="1" name=""/>
              <wp:cNvGraphicFramePr/>
              <a:graphic xmlns:a="http://schemas.openxmlformats.org/drawingml/2006/main">
                <a:graphicData uri="http://schemas.microsoft.com/office/word/2010/wordprocessingGroup">
                  <wpg:wgp>
                    <wpg:cNvGrpSpPr/>
                    <wpg:grpSpPr>
                      <a:xfrm>
                        <a:off x="0" y="0"/>
                        <a:ext cx="5943600" cy="419100"/>
                        <a:chOff x="2374200" y="3568228"/>
                        <a:chExt cx="5943600" cy="423545"/>
                      </a:xfrm>
                    </wpg:grpSpPr>
                    <wpg:grpSp>
                      <wpg:cNvPr id="2" name="Group 2"/>
                      <wpg:cNvGrpSpPr/>
                      <wpg:grpSpPr>
                        <a:xfrm>
                          <a:off x="2374200" y="3568228"/>
                          <a:ext cx="5943600" cy="423545"/>
                          <a:chOff x="0" y="0"/>
                          <a:chExt cx="5943600" cy="423545"/>
                        </a:xfrm>
                      </wpg:grpSpPr>
                      <wps:wsp>
                        <wps:cNvPr id="3" name="Rectangle 3"/>
                        <wps:cNvSpPr/>
                        <wps:spPr>
                          <a:xfrm>
                            <a:off x="0" y="0"/>
                            <a:ext cx="5943600" cy="423525"/>
                          </a:xfrm>
                          <a:prstGeom prst="rect">
                            <a:avLst/>
                          </a:prstGeom>
                          <a:noFill/>
                          <a:ln>
                            <a:noFill/>
                          </a:ln>
                        </wps:spPr>
                        <wps:txbx>
                          <w:txbxContent>
                            <w:p w:rsidR="002B416C" w:rsidRDefault="002B416C">
                              <w:pPr>
                                <w:spacing w:after="0" w:line="240" w:lineRule="auto"/>
                                <w:textDirection w:val="btLr"/>
                              </w:pPr>
                            </w:p>
                          </w:txbxContent>
                        </wps:txbx>
                        <wps:bodyPr wrap="square" lIns="91425" tIns="91425" rIns="91425" bIns="91425" anchor="ctr" anchorCtr="0"/>
                      </wps:wsp>
                      <wps:wsp>
                        <wps:cNvPr id="4" name="Rectangle 4"/>
                        <wps:cNvSpPr/>
                        <wps:spPr>
                          <a:xfrm>
                            <a:off x="0" y="0"/>
                            <a:ext cx="5943600" cy="274320"/>
                          </a:xfrm>
                          <a:prstGeom prst="rect">
                            <a:avLst/>
                          </a:prstGeom>
                          <a:solidFill>
                            <a:schemeClr val="lt1">
                              <a:alpha val="0"/>
                            </a:schemeClr>
                          </a:solidFill>
                          <a:ln>
                            <a:noFill/>
                          </a:ln>
                        </wps:spPr>
                        <wps:txbx>
                          <w:txbxContent>
                            <w:p w:rsidR="002B416C" w:rsidRDefault="002B416C">
                              <w:pPr>
                                <w:spacing w:after="0" w:line="240" w:lineRule="auto"/>
                                <w:textDirection w:val="btLr"/>
                              </w:pPr>
                            </w:p>
                          </w:txbxContent>
                        </wps:txbx>
                        <wps:bodyPr wrap="square" lIns="91425" tIns="91425" rIns="91425" bIns="91425" anchor="ctr" anchorCtr="0"/>
                      </wps:wsp>
                      <wps:wsp>
                        <wps:cNvPr id="5" name="Rectangle 5"/>
                        <wps:cNvSpPr/>
                        <wps:spPr>
                          <a:xfrm>
                            <a:off x="228600" y="0"/>
                            <a:ext cx="5353050" cy="423545"/>
                          </a:xfrm>
                          <a:prstGeom prst="rect">
                            <a:avLst/>
                          </a:prstGeom>
                          <a:noFill/>
                          <a:ln>
                            <a:noFill/>
                          </a:ln>
                        </wps:spPr>
                        <wps:txbx>
                          <w:txbxContent>
                            <w:p w:rsidR="002B416C" w:rsidRDefault="005A0633">
                              <w:pPr>
                                <w:spacing w:after="0" w:line="240" w:lineRule="auto"/>
                                <w:textDirection w:val="btLr"/>
                              </w:pPr>
                              <w:r>
                                <w:rPr>
                                  <w:rFonts w:ascii="Arial" w:eastAsia="Arial" w:hAnsi="Arial" w:cs="Arial"/>
                                  <w:sz w:val="28"/>
                                </w:rPr>
                                <w:t xml:space="preserve">Updated </w:t>
                              </w:r>
                              <w:r w:rsidR="00BB2F87">
                                <w:rPr>
                                  <w:rFonts w:ascii="Arial" w:eastAsia="Arial" w:hAnsi="Arial" w:cs="Arial"/>
                                  <w:sz w:val="28"/>
                                </w:rPr>
                                <w:t>4-</w:t>
                              </w:r>
                              <w:r w:rsidR="00C82586">
                                <w:rPr>
                                  <w:rFonts w:ascii="Arial" w:eastAsia="Arial" w:hAnsi="Arial" w:cs="Arial"/>
                                  <w:sz w:val="28"/>
                                </w:rPr>
                                <w:t>25</w:t>
                              </w:r>
                              <w:r w:rsidR="00FE682C">
                                <w:rPr>
                                  <w:rFonts w:ascii="Arial" w:eastAsia="Arial" w:hAnsi="Arial" w:cs="Arial"/>
                                  <w:sz w:val="28"/>
                                </w:rPr>
                                <w:t>-2018</w:t>
                              </w:r>
                            </w:p>
                            <w:p w:rsidR="002B416C" w:rsidRDefault="002B416C">
                              <w:pPr>
                                <w:spacing w:after="0" w:line="240" w:lineRule="auto"/>
                                <w:textDirection w:val="btLr"/>
                              </w:pPr>
                            </w:p>
                          </w:txbxContent>
                        </wps:txbx>
                        <wps:bodyPr wrap="square" lIns="0" tIns="45700" rIns="0" bIns="45700" anchor="t" anchorCtr="0"/>
                      </wps:wsp>
                    </wpg:grpSp>
                  </wpg:wgp>
                </a:graphicData>
              </a:graphic>
            </wp:anchor>
          </w:drawing>
        </mc:Choice>
        <mc:Fallback>
          <w:pict>
            <v:group id="_x0000_s1026" style="position:absolute;margin-left:-36pt;margin-top:0;width:468pt;height:33pt;z-index:251658240;mso-position-horizontal-relative:margin" coordorigin="23742,35682" coordsize="59436,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">
              <v:group id="Group 2" o:spid="_x0000_s1027" style="position:absolute;left:23742;top:35682;width:59436;height:4235" coordsize="5943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9436;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2B416C" w:rsidRDefault="002B416C">
                        <w:pPr>
                          <w:spacing w:after="0" w:line="240" w:lineRule="auto"/>
                          <w:textDirection w:val="btLr"/>
                        </w:pPr>
                      </w:p>
                    </w:txbxContent>
                  </v:textbox>
                </v:rect>
                <v:rect id="Rectangle 4"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" fillcolor="white [3201]" stroked="f">
                  <v:fill opacity="0"/>
                  <v:textbox inset="2.53958mm,2.53958mm,2.53958mm,2.53958mm">
                    <w:txbxContent>
                      <w:p w:rsidR="002B416C" w:rsidRDefault="002B416C">
                        <w:pPr>
                          <w:spacing w:after="0" w:line="240" w:lineRule="auto"/>
                          <w:textDirection w:val="btLr"/>
                        </w:pPr>
                      </w:p>
                    </w:txbxContent>
                  </v:textbox>
                </v:rect>
                <v:rect id="Rectangle 5" o:spid="_x0000_s1030" style="position:absolute;left:2286;width:53530;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" filled="f" stroked="f">
                  <v:textbox inset="0,1.2694mm,0,1.2694mm">
                    <w:txbxContent>
                      <w:p w:rsidR="002B416C" w:rsidRDefault="005A0633">
                        <w:pPr>
                          <w:spacing w:after="0" w:line="240" w:lineRule="auto"/>
                          <w:textDirection w:val="btLr"/>
                        </w:pPr>
                        <w:r>
                          <w:rPr>
                            <w:rFonts w:ascii="Arial" w:eastAsia="Arial" w:hAnsi="Arial" w:cs="Arial"/>
                            <w:sz w:val="28"/>
                          </w:rPr>
                          <w:t xml:space="preserve">Updated </w:t>
                        </w:r>
                        <w:r w:rsidR="00BB2F87">
                          <w:rPr>
                            <w:rFonts w:ascii="Arial" w:eastAsia="Arial" w:hAnsi="Arial" w:cs="Arial"/>
                            <w:sz w:val="28"/>
                          </w:rPr>
                          <w:t>4-</w:t>
                        </w:r>
                        <w:r w:rsidR="00C82586">
                          <w:rPr>
                            <w:rFonts w:ascii="Arial" w:eastAsia="Arial" w:hAnsi="Arial" w:cs="Arial"/>
                            <w:sz w:val="28"/>
                          </w:rPr>
                          <w:t>25</w:t>
                        </w:r>
                        <w:r w:rsidR="00FE682C">
                          <w:rPr>
                            <w:rFonts w:ascii="Arial" w:eastAsia="Arial" w:hAnsi="Arial" w:cs="Arial"/>
                            <w:sz w:val="28"/>
                          </w:rPr>
                          <w:t>-2018</w:t>
                        </w:r>
                      </w:p>
                      <w:p w:rsidR="002B416C" w:rsidRDefault="002B416C">
                        <w:pPr>
                          <w:spacing w:after="0" w:line="240" w:lineRule="auto"/>
                          <w:textDirection w:val="btLr"/>
                        </w:pPr>
                      </w:p>
                    </w:txbxContent>
                  </v:textbox>
                </v:rect>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4C" w:rsidRDefault="005A0633">
      <w:pPr>
        <w:spacing w:after="0" w:line="240" w:lineRule="auto"/>
      </w:pPr>
      <w:r>
        <w:separator/>
      </w:r>
    </w:p>
  </w:footnote>
  <w:footnote w:type="continuationSeparator" w:id="0">
    <w:p w:rsidR="0060484C" w:rsidRDefault="005A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6C" w:rsidRDefault="002B416C">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348"/>
    <w:multiLevelType w:val="hybridMultilevel"/>
    <w:tmpl w:val="B69E834A"/>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cs="Courier New"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cs="Courier New" w:hint="default"/>
      </w:rPr>
    </w:lvl>
    <w:lvl w:ilvl="8" w:tplc="04090005">
      <w:start w:val="1"/>
      <w:numFmt w:val="bullet"/>
      <w:lvlText w:val=""/>
      <w:lvlJc w:val="left"/>
      <w:pPr>
        <w:ind w:left="6855" w:hanging="360"/>
      </w:pPr>
      <w:rPr>
        <w:rFonts w:ascii="Wingdings" w:hAnsi="Wingdings" w:hint="default"/>
      </w:rPr>
    </w:lvl>
  </w:abstractNum>
  <w:abstractNum w:abstractNumId="1" w15:restartNumberingAfterBreak="0">
    <w:nsid w:val="07200B45"/>
    <w:multiLevelType w:val="hybridMultilevel"/>
    <w:tmpl w:val="EFA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B02EB"/>
    <w:multiLevelType w:val="hybridMultilevel"/>
    <w:tmpl w:val="06C4C854"/>
    <w:lvl w:ilvl="0" w:tplc="A5067AB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261AF"/>
    <w:multiLevelType w:val="hybridMultilevel"/>
    <w:tmpl w:val="0C5ED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2783F"/>
    <w:multiLevelType w:val="hybridMultilevel"/>
    <w:tmpl w:val="9E5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1447"/>
    <w:multiLevelType w:val="hybridMultilevel"/>
    <w:tmpl w:val="191A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02C38"/>
    <w:multiLevelType w:val="hybridMultilevel"/>
    <w:tmpl w:val="E1A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12043"/>
    <w:multiLevelType w:val="multilevel"/>
    <w:tmpl w:val="9FD2C5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C00BD3"/>
    <w:multiLevelType w:val="hybridMultilevel"/>
    <w:tmpl w:val="C38ECE38"/>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9" w15:restartNumberingAfterBreak="0">
    <w:nsid w:val="22A24B05"/>
    <w:multiLevelType w:val="hybridMultilevel"/>
    <w:tmpl w:val="8F6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04F6E"/>
    <w:multiLevelType w:val="hybridMultilevel"/>
    <w:tmpl w:val="38B0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25690"/>
    <w:multiLevelType w:val="multilevel"/>
    <w:tmpl w:val="394C9B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B034DF3"/>
    <w:multiLevelType w:val="hybridMultilevel"/>
    <w:tmpl w:val="EAB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46CF5"/>
    <w:multiLevelType w:val="hybridMultilevel"/>
    <w:tmpl w:val="7250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3888"/>
    <w:multiLevelType w:val="multilevel"/>
    <w:tmpl w:val="EB9EBE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EE72330"/>
    <w:multiLevelType w:val="hybridMultilevel"/>
    <w:tmpl w:val="06C4C854"/>
    <w:lvl w:ilvl="0" w:tplc="A5067AB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3146B"/>
    <w:multiLevelType w:val="hybridMultilevel"/>
    <w:tmpl w:val="06C4C854"/>
    <w:lvl w:ilvl="0" w:tplc="A5067AB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61130"/>
    <w:multiLevelType w:val="hybridMultilevel"/>
    <w:tmpl w:val="1B6E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07107"/>
    <w:multiLevelType w:val="hybridMultilevel"/>
    <w:tmpl w:val="06C4C854"/>
    <w:lvl w:ilvl="0" w:tplc="A5067AB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27DF4"/>
    <w:multiLevelType w:val="hybridMultilevel"/>
    <w:tmpl w:val="128CD780"/>
    <w:lvl w:ilvl="0" w:tplc="E384F060">
      <w:start w:val="1"/>
      <w:numFmt w:val="bullet"/>
      <w:lvlText w:val="-"/>
      <w:lvlJc w:val="left"/>
      <w:pPr>
        <w:ind w:left="961" w:hanging="360"/>
      </w:pPr>
      <w:rPr>
        <w:rFonts w:ascii="Open Sans" w:eastAsia="Calibri" w:hAnsi="Open Sans" w:cs="Calibri"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0" w15:restartNumberingAfterBreak="0">
    <w:nsid w:val="31DD3572"/>
    <w:multiLevelType w:val="multilevel"/>
    <w:tmpl w:val="09E62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1F94B4B"/>
    <w:multiLevelType w:val="hybridMultilevel"/>
    <w:tmpl w:val="BEBA6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40975"/>
    <w:multiLevelType w:val="multilevel"/>
    <w:tmpl w:val="D7B6D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9B711A"/>
    <w:multiLevelType w:val="hybridMultilevel"/>
    <w:tmpl w:val="AF7E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C6B75"/>
    <w:multiLevelType w:val="multilevel"/>
    <w:tmpl w:val="666823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5D2512C"/>
    <w:multiLevelType w:val="hybridMultilevel"/>
    <w:tmpl w:val="E06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83DBC"/>
    <w:multiLevelType w:val="hybridMultilevel"/>
    <w:tmpl w:val="D83A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82D2C"/>
    <w:multiLevelType w:val="hybridMultilevel"/>
    <w:tmpl w:val="040E0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C6857"/>
    <w:multiLevelType w:val="multilevel"/>
    <w:tmpl w:val="594085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6C11664"/>
    <w:multiLevelType w:val="hybridMultilevel"/>
    <w:tmpl w:val="3A06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90555"/>
    <w:multiLevelType w:val="multilevel"/>
    <w:tmpl w:val="394C9B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A003126"/>
    <w:multiLevelType w:val="hybridMultilevel"/>
    <w:tmpl w:val="5D5C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9092A"/>
    <w:multiLevelType w:val="hybridMultilevel"/>
    <w:tmpl w:val="15EEC3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43CE6"/>
    <w:multiLevelType w:val="hybridMultilevel"/>
    <w:tmpl w:val="07C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C793F"/>
    <w:multiLevelType w:val="hybridMultilevel"/>
    <w:tmpl w:val="7BFE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12CF8"/>
    <w:multiLevelType w:val="multilevel"/>
    <w:tmpl w:val="BA82916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595A093C"/>
    <w:multiLevelType w:val="hybridMultilevel"/>
    <w:tmpl w:val="F910A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297044A"/>
    <w:multiLevelType w:val="hybridMultilevel"/>
    <w:tmpl w:val="39222098"/>
    <w:lvl w:ilvl="0" w:tplc="C506042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156C0"/>
    <w:multiLevelType w:val="hybridMultilevel"/>
    <w:tmpl w:val="A0AC71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15C73"/>
    <w:multiLevelType w:val="multilevel"/>
    <w:tmpl w:val="C1F43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B432E47"/>
    <w:multiLevelType w:val="hybridMultilevel"/>
    <w:tmpl w:val="4D48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E40A9"/>
    <w:multiLevelType w:val="hybridMultilevel"/>
    <w:tmpl w:val="FA0EA9E6"/>
    <w:lvl w:ilvl="0" w:tplc="4B3E215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971C5"/>
    <w:multiLevelType w:val="hybridMultilevel"/>
    <w:tmpl w:val="365CB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42115"/>
    <w:multiLevelType w:val="hybridMultilevel"/>
    <w:tmpl w:val="A29A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060EC"/>
    <w:multiLevelType w:val="hybridMultilevel"/>
    <w:tmpl w:val="EF8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D1DE2"/>
    <w:multiLevelType w:val="hybridMultilevel"/>
    <w:tmpl w:val="4AB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D7715"/>
    <w:multiLevelType w:val="hybridMultilevel"/>
    <w:tmpl w:val="11624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6"/>
  </w:num>
  <w:num w:numId="4">
    <w:abstractNumId w:val="22"/>
  </w:num>
  <w:num w:numId="5">
    <w:abstractNumId w:val="25"/>
  </w:num>
  <w:num w:numId="6">
    <w:abstractNumId w:val="13"/>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0"/>
  </w:num>
  <w:num w:numId="11">
    <w:abstractNumId w:val="39"/>
  </w:num>
  <w:num w:numId="12">
    <w:abstractNumId w:val="7"/>
  </w:num>
  <w:num w:numId="13">
    <w:abstractNumId w:val="20"/>
  </w:num>
  <w:num w:numId="14">
    <w:abstractNumId w:val="28"/>
  </w:num>
  <w:num w:numId="15">
    <w:abstractNumId w:val="23"/>
  </w:num>
  <w:num w:numId="16">
    <w:abstractNumId w:val="40"/>
  </w:num>
  <w:num w:numId="17">
    <w:abstractNumId w:val="43"/>
  </w:num>
  <w:num w:numId="18">
    <w:abstractNumId w:val="34"/>
  </w:num>
  <w:num w:numId="19">
    <w:abstractNumId w:val="32"/>
  </w:num>
  <w:num w:numId="20">
    <w:abstractNumId w:val="37"/>
  </w:num>
  <w:num w:numId="21">
    <w:abstractNumId w:val="2"/>
  </w:num>
  <w:num w:numId="22">
    <w:abstractNumId w:val="41"/>
  </w:num>
  <w:num w:numId="23">
    <w:abstractNumId w:val="27"/>
  </w:num>
  <w:num w:numId="24">
    <w:abstractNumId w:val="17"/>
  </w:num>
  <w:num w:numId="25">
    <w:abstractNumId w:val="21"/>
  </w:num>
  <w:num w:numId="26">
    <w:abstractNumId w:val="4"/>
  </w:num>
  <w:num w:numId="27">
    <w:abstractNumId w:val="31"/>
  </w:num>
  <w:num w:numId="28">
    <w:abstractNumId w:val="12"/>
  </w:num>
  <w:num w:numId="29">
    <w:abstractNumId w:val="5"/>
  </w:num>
  <w:num w:numId="30">
    <w:abstractNumId w:val="33"/>
  </w:num>
  <w:num w:numId="31">
    <w:abstractNumId w:val="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6"/>
  </w:num>
  <w:num w:numId="35">
    <w:abstractNumId w:val="1"/>
  </w:num>
  <w:num w:numId="36">
    <w:abstractNumId w:val="3"/>
  </w:num>
  <w:num w:numId="37">
    <w:abstractNumId w:val="8"/>
  </w:num>
  <w:num w:numId="38">
    <w:abstractNumId w:val="1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lvlOverride w:ilvl="2"/>
    <w:lvlOverride w:ilvl="3"/>
    <w:lvlOverride w:ilvl="4"/>
    <w:lvlOverride w:ilvl="5"/>
    <w:lvlOverride w:ilvl="6"/>
    <w:lvlOverride w:ilvl="7"/>
    <w:lvlOverride w:ilvl="8"/>
  </w:num>
  <w:num w:numId="41">
    <w:abstractNumId w:val="0"/>
  </w:num>
  <w:num w:numId="42">
    <w:abstractNumId w:val="36"/>
    <w:lvlOverride w:ilvl="0"/>
    <w:lvlOverride w:ilvl="1"/>
    <w:lvlOverride w:ilvl="2"/>
    <w:lvlOverride w:ilvl="3"/>
    <w:lvlOverride w:ilvl="4"/>
    <w:lvlOverride w:ilvl="5"/>
    <w:lvlOverride w:ilvl="6"/>
    <w:lvlOverride w:ilvl="7"/>
    <w:lvlOverride w:ilvl="8"/>
  </w:num>
  <w:num w:numId="43">
    <w:abstractNumId w:val="42"/>
  </w:num>
  <w:num w:numId="44">
    <w:abstractNumId w:val="19"/>
  </w:num>
  <w:num w:numId="45">
    <w:abstractNumId w:val="16"/>
  </w:num>
  <w:num w:numId="46">
    <w:abstractNumId w:val="44"/>
  </w:num>
  <w:num w:numId="47">
    <w:abstractNumId w:val="45"/>
  </w:num>
  <w:num w:numId="48">
    <w:abstractNumId w:val="1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6C"/>
    <w:rsid w:val="0004283A"/>
    <w:rsid w:val="00064C77"/>
    <w:rsid w:val="00066928"/>
    <w:rsid w:val="00093EEE"/>
    <w:rsid w:val="000C21EA"/>
    <w:rsid w:val="000C669F"/>
    <w:rsid w:val="00181C43"/>
    <w:rsid w:val="001A2A6D"/>
    <w:rsid w:val="001E7E8A"/>
    <w:rsid w:val="00256CC4"/>
    <w:rsid w:val="00261D5F"/>
    <w:rsid w:val="002B416C"/>
    <w:rsid w:val="002F4D12"/>
    <w:rsid w:val="003121AA"/>
    <w:rsid w:val="0031486E"/>
    <w:rsid w:val="00401CD0"/>
    <w:rsid w:val="004C1CE8"/>
    <w:rsid w:val="004D24C3"/>
    <w:rsid w:val="004E5D57"/>
    <w:rsid w:val="004F2C40"/>
    <w:rsid w:val="004F4B2B"/>
    <w:rsid w:val="00591E9E"/>
    <w:rsid w:val="005A0633"/>
    <w:rsid w:val="005B771E"/>
    <w:rsid w:val="005D42BA"/>
    <w:rsid w:val="005F1172"/>
    <w:rsid w:val="0060484C"/>
    <w:rsid w:val="006333BA"/>
    <w:rsid w:val="006438D1"/>
    <w:rsid w:val="0066281C"/>
    <w:rsid w:val="006B5E3D"/>
    <w:rsid w:val="007277F0"/>
    <w:rsid w:val="007278A8"/>
    <w:rsid w:val="00762F76"/>
    <w:rsid w:val="007723D3"/>
    <w:rsid w:val="007D082C"/>
    <w:rsid w:val="007E5560"/>
    <w:rsid w:val="008133EE"/>
    <w:rsid w:val="00824AAC"/>
    <w:rsid w:val="008554F3"/>
    <w:rsid w:val="00880207"/>
    <w:rsid w:val="009B70A7"/>
    <w:rsid w:val="009D278E"/>
    <w:rsid w:val="009F02E5"/>
    <w:rsid w:val="00A543F2"/>
    <w:rsid w:val="00AE488C"/>
    <w:rsid w:val="00B1240C"/>
    <w:rsid w:val="00B420EC"/>
    <w:rsid w:val="00B56C2C"/>
    <w:rsid w:val="00B6329A"/>
    <w:rsid w:val="00B776E6"/>
    <w:rsid w:val="00BA78AC"/>
    <w:rsid w:val="00BB2F87"/>
    <w:rsid w:val="00BD02C8"/>
    <w:rsid w:val="00BF1ED8"/>
    <w:rsid w:val="00C06B21"/>
    <w:rsid w:val="00C16624"/>
    <w:rsid w:val="00C67F59"/>
    <w:rsid w:val="00C72D8C"/>
    <w:rsid w:val="00C82586"/>
    <w:rsid w:val="00C921DD"/>
    <w:rsid w:val="00C966CC"/>
    <w:rsid w:val="00D13A87"/>
    <w:rsid w:val="00D7271D"/>
    <w:rsid w:val="00D923F3"/>
    <w:rsid w:val="00DB643E"/>
    <w:rsid w:val="00E24368"/>
    <w:rsid w:val="00E54607"/>
    <w:rsid w:val="00EA2D90"/>
    <w:rsid w:val="00EB46AD"/>
    <w:rsid w:val="00EC6B5C"/>
    <w:rsid w:val="00F21A84"/>
    <w:rsid w:val="00F2416E"/>
    <w:rsid w:val="00F30759"/>
    <w:rsid w:val="00F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1F7955"/>
  <w15:docId w15:val="{84715B24-20F6-4EDB-9400-542430CE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91E9E"/>
    <w:pPr>
      <w:ind w:left="720"/>
      <w:contextualSpacing/>
    </w:pPr>
  </w:style>
  <w:style w:type="paragraph" w:styleId="Header">
    <w:name w:val="header"/>
    <w:basedOn w:val="Normal"/>
    <w:link w:val="HeaderChar"/>
    <w:uiPriority w:val="99"/>
    <w:unhideWhenUsed/>
    <w:rsid w:val="00FE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2C"/>
  </w:style>
  <w:style w:type="paragraph" w:styleId="Footer">
    <w:name w:val="footer"/>
    <w:basedOn w:val="Normal"/>
    <w:link w:val="FooterChar"/>
    <w:uiPriority w:val="99"/>
    <w:unhideWhenUsed/>
    <w:rsid w:val="00FE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2C"/>
  </w:style>
  <w:style w:type="paragraph" w:styleId="BalloonText">
    <w:name w:val="Balloon Text"/>
    <w:basedOn w:val="Normal"/>
    <w:link w:val="BalloonTextChar"/>
    <w:uiPriority w:val="99"/>
    <w:semiHidden/>
    <w:unhideWhenUsed/>
    <w:rsid w:val="007E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60"/>
    <w:rPr>
      <w:rFonts w:ascii="Segoe UI" w:hAnsi="Segoe UI" w:cs="Segoe UI"/>
      <w:sz w:val="18"/>
      <w:szCs w:val="18"/>
    </w:rPr>
  </w:style>
  <w:style w:type="paragraph" w:styleId="PlainText">
    <w:name w:val="Plain Text"/>
    <w:basedOn w:val="Normal"/>
    <w:link w:val="PlainTextChar"/>
    <w:uiPriority w:val="99"/>
    <w:unhideWhenUsed/>
    <w:rsid w:val="00762F76"/>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szCs w:val="21"/>
    </w:rPr>
  </w:style>
  <w:style w:type="character" w:customStyle="1" w:styleId="PlainTextChar">
    <w:name w:val="Plain Text Char"/>
    <w:basedOn w:val="DefaultParagraphFont"/>
    <w:link w:val="PlainText"/>
    <w:uiPriority w:val="99"/>
    <w:rsid w:val="00762F76"/>
    <w:rPr>
      <w:rFonts w:eastAsia="Times New Roman" w:cs="Times New Roman"/>
      <w:color w:val="auto"/>
      <w:szCs w:val="21"/>
    </w:rPr>
  </w:style>
  <w:style w:type="paragraph" w:styleId="NormalWeb">
    <w:name w:val="Normal (Web)"/>
    <w:basedOn w:val="Normal"/>
    <w:uiPriority w:val="99"/>
    <w:semiHidden/>
    <w:unhideWhenUsed/>
    <w:rsid w:val="007278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2416E"/>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453">
      <w:bodyDiv w:val="1"/>
      <w:marLeft w:val="0"/>
      <w:marRight w:val="0"/>
      <w:marTop w:val="0"/>
      <w:marBottom w:val="0"/>
      <w:divBdr>
        <w:top w:val="none" w:sz="0" w:space="0" w:color="auto"/>
        <w:left w:val="none" w:sz="0" w:space="0" w:color="auto"/>
        <w:bottom w:val="none" w:sz="0" w:space="0" w:color="auto"/>
        <w:right w:val="none" w:sz="0" w:space="0" w:color="auto"/>
      </w:divBdr>
    </w:div>
    <w:div w:id="143083288">
      <w:bodyDiv w:val="1"/>
      <w:marLeft w:val="0"/>
      <w:marRight w:val="0"/>
      <w:marTop w:val="0"/>
      <w:marBottom w:val="0"/>
      <w:divBdr>
        <w:top w:val="none" w:sz="0" w:space="0" w:color="auto"/>
        <w:left w:val="none" w:sz="0" w:space="0" w:color="auto"/>
        <w:bottom w:val="none" w:sz="0" w:space="0" w:color="auto"/>
        <w:right w:val="none" w:sz="0" w:space="0" w:color="auto"/>
      </w:divBdr>
    </w:div>
    <w:div w:id="206994802">
      <w:bodyDiv w:val="1"/>
      <w:marLeft w:val="0"/>
      <w:marRight w:val="0"/>
      <w:marTop w:val="0"/>
      <w:marBottom w:val="0"/>
      <w:divBdr>
        <w:top w:val="none" w:sz="0" w:space="0" w:color="auto"/>
        <w:left w:val="none" w:sz="0" w:space="0" w:color="auto"/>
        <w:bottom w:val="none" w:sz="0" w:space="0" w:color="auto"/>
        <w:right w:val="none" w:sz="0" w:space="0" w:color="auto"/>
      </w:divBdr>
    </w:div>
    <w:div w:id="310792398">
      <w:bodyDiv w:val="1"/>
      <w:marLeft w:val="0"/>
      <w:marRight w:val="0"/>
      <w:marTop w:val="0"/>
      <w:marBottom w:val="0"/>
      <w:divBdr>
        <w:top w:val="none" w:sz="0" w:space="0" w:color="auto"/>
        <w:left w:val="none" w:sz="0" w:space="0" w:color="auto"/>
        <w:bottom w:val="none" w:sz="0" w:space="0" w:color="auto"/>
        <w:right w:val="none" w:sz="0" w:space="0" w:color="auto"/>
      </w:divBdr>
    </w:div>
    <w:div w:id="325130034">
      <w:bodyDiv w:val="1"/>
      <w:marLeft w:val="0"/>
      <w:marRight w:val="0"/>
      <w:marTop w:val="0"/>
      <w:marBottom w:val="0"/>
      <w:divBdr>
        <w:top w:val="none" w:sz="0" w:space="0" w:color="auto"/>
        <w:left w:val="none" w:sz="0" w:space="0" w:color="auto"/>
        <w:bottom w:val="none" w:sz="0" w:space="0" w:color="auto"/>
        <w:right w:val="none" w:sz="0" w:space="0" w:color="auto"/>
      </w:divBdr>
    </w:div>
    <w:div w:id="389961693">
      <w:bodyDiv w:val="1"/>
      <w:marLeft w:val="0"/>
      <w:marRight w:val="0"/>
      <w:marTop w:val="0"/>
      <w:marBottom w:val="0"/>
      <w:divBdr>
        <w:top w:val="none" w:sz="0" w:space="0" w:color="auto"/>
        <w:left w:val="none" w:sz="0" w:space="0" w:color="auto"/>
        <w:bottom w:val="none" w:sz="0" w:space="0" w:color="auto"/>
        <w:right w:val="none" w:sz="0" w:space="0" w:color="auto"/>
      </w:divBdr>
    </w:div>
    <w:div w:id="403767544">
      <w:bodyDiv w:val="1"/>
      <w:marLeft w:val="0"/>
      <w:marRight w:val="0"/>
      <w:marTop w:val="0"/>
      <w:marBottom w:val="0"/>
      <w:divBdr>
        <w:top w:val="none" w:sz="0" w:space="0" w:color="auto"/>
        <w:left w:val="none" w:sz="0" w:space="0" w:color="auto"/>
        <w:bottom w:val="none" w:sz="0" w:space="0" w:color="auto"/>
        <w:right w:val="none" w:sz="0" w:space="0" w:color="auto"/>
      </w:divBdr>
    </w:div>
    <w:div w:id="543907920">
      <w:bodyDiv w:val="1"/>
      <w:marLeft w:val="0"/>
      <w:marRight w:val="0"/>
      <w:marTop w:val="0"/>
      <w:marBottom w:val="0"/>
      <w:divBdr>
        <w:top w:val="none" w:sz="0" w:space="0" w:color="auto"/>
        <w:left w:val="none" w:sz="0" w:space="0" w:color="auto"/>
        <w:bottom w:val="none" w:sz="0" w:space="0" w:color="auto"/>
        <w:right w:val="none" w:sz="0" w:space="0" w:color="auto"/>
      </w:divBdr>
      <w:divsChild>
        <w:div w:id="1417248240">
          <w:marLeft w:val="-108"/>
          <w:marRight w:val="0"/>
          <w:marTop w:val="0"/>
          <w:marBottom w:val="0"/>
          <w:divBdr>
            <w:top w:val="none" w:sz="0" w:space="0" w:color="auto"/>
            <w:left w:val="none" w:sz="0" w:space="0" w:color="auto"/>
            <w:bottom w:val="none" w:sz="0" w:space="0" w:color="auto"/>
            <w:right w:val="none" w:sz="0" w:space="0" w:color="auto"/>
          </w:divBdr>
        </w:div>
      </w:divsChild>
    </w:div>
    <w:div w:id="660698971">
      <w:bodyDiv w:val="1"/>
      <w:marLeft w:val="0"/>
      <w:marRight w:val="0"/>
      <w:marTop w:val="0"/>
      <w:marBottom w:val="0"/>
      <w:divBdr>
        <w:top w:val="none" w:sz="0" w:space="0" w:color="auto"/>
        <w:left w:val="none" w:sz="0" w:space="0" w:color="auto"/>
        <w:bottom w:val="none" w:sz="0" w:space="0" w:color="auto"/>
        <w:right w:val="none" w:sz="0" w:space="0" w:color="auto"/>
      </w:divBdr>
    </w:div>
    <w:div w:id="680622117">
      <w:bodyDiv w:val="1"/>
      <w:marLeft w:val="0"/>
      <w:marRight w:val="0"/>
      <w:marTop w:val="0"/>
      <w:marBottom w:val="0"/>
      <w:divBdr>
        <w:top w:val="none" w:sz="0" w:space="0" w:color="auto"/>
        <w:left w:val="none" w:sz="0" w:space="0" w:color="auto"/>
        <w:bottom w:val="none" w:sz="0" w:space="0" w:color="auto"/>
        <w:right w:val="none" w:sz="0" w:space="0" w:color="auto"/>
      </w:divBdr>
    </w:div>
    <w:div w:id="693726846">
      <w:bodyDiv w:val="1"/>
      <w:marLeft w:val="0"/>
      <w:marRight w:val="0"/>
      <w:marTop w:val="0"/>
      <w:marBottom w:val="0"/>
      <w:divBdr>
        <w:top w:val="none" w:sz="0" w:space="0" w:color="auto"/>
        <w:left w:val="none" w:sz="0" w:space="0" w:color="auto"/>
        <w:bottom w:val="none" w:sz="0" w:space="0" w:color="auto"/>
        <w:right w:val="none" w:sz="0" w:space="0" w:color="auto"/>
      </w:divBdr>
    </w:div>
    <w:div w:id="794450506">
      <w:bodyDiv w:val="1"/>
      <w:marLeft w:val="0"/>
      <w:marRight w:val="0"/>
      <w:marTop w:val="0"/>
      <w:marBottom w:val="0"/>
      <w:divBdr>
        <w:top w:val="none" w:sz="0" w:space="0" w:color="auto"/>
        <w:left w:val="none" w:sz="0" w:space="0" w:color="auto"/>
        <w:bottom w:val="none" w:sz="0" w:space="0" w:color="auto"/>
        <w:right w:val="none" w:sz="0" w:space="0" w:color="auto"/>
      </w:divBdr>
    </w:div>
    <w:div w:id="799954549">
      <w:bodyDiv w:val="1"/>
      <w:marLeft w:val="0"/>
      <w:marRight w:val="0"/>
      <w:marTop w:val="0"/>
      <w:marBottom w:val="0"/>
      <w:divBdr>
        <w:top w:val="none" w:sz="0" w:space="0" w:color="auto"/>
        <w:left w:val="none" w:sz="0" w:space="0" w:color="auto"/>
        <w:bottom w:val="none" w:sz="0" w:space="0" w:color="auto"/>
        <w:right w:val="none" w:sz="0" w:space="0" w:color="auto"/>
      </w:divBdr>
    </w:div>
    <w:div w:id="827130190">
      <w:bodyDiv w:val="1"/>
      <w:marLeft w:val="0"/>
      <w:marRight w:val="0"/>
      <w:marTop w:val="0"/>
      <w:marBottom w:val="0"/>
      <w:divBdr>
        <w:top w:val="none" w:sz="0" w:space="0" w:color="auto"/>
        <w:left w:val="none" w:sz="0" w:space="0" w:color="auto"/>
        <w:bottom w:val="none" w:sz="0" w:space="0" w:color="auto"/>
        <w:right w:val="none" w:sz="0" w:space="0" w:color="auto"/>
      </w:divBdr>
    </w:div>
    <w:div w:id="911935999">
      <w:bodyDiv w:val="1"/>
      <w:marLeft w:val="0"/>
      <w:marRight w:val="0"/>
      <w:marTop w:val="0"/>
      <w:marBottom w:val="0"/>
      <w:divBdr>
        <w:top w:val="none" w:sz="0" w:space="0" w:color="auto"/>
        <w:left w:val="none" w:sz="0" w:space="0" w:color="auto"/>
        <w:bottom w:val="none" w:sz="0" w:space="0" w:color="auto"/>
        <w:right w:val="none" w:sz="0" w:space="0" w:color="auto"/>
      </w:divBdr>
    </w:div>
    <w:div w:id="922035004">
      <w:bodyDiv w:val="1"/>
      <w:marLeft w:val="0"/>
      <w:marRight w:val="0"/>
      <w:marTop w:val="0"/>
      <w:marBottom w:val="0"/>
      <w:divBdr>
        <w:top w:val="none" w:sz="0" w:space="0" w:color="auto"/>
        <w:left w:val="none" w:sz="0" w:space="0" w:color="auto"/>
        <w:bottom w:val="none" w:sz="0" w:space="0" w:color="auto"/>
        <w:right w:val="none" w:sz="0" w:space="0" w:color="auto"/>
      </w:divBdr>
    </w:div>
    <w:div w:id="1042244160">
      <w:bodyDiv w:val="1"/>
      <w:marLeft w:val="0"/>
      <w:marRight w:val="0"/>
      <w:marTop w:val="0"/>
      <w:marBottom w:val="0"/>
      <w:divBdr>
        <w:top w:val="none" w:sz="0" w:space="0" w:color="auto"/>
        <w:left w:val="none" w:sz="0" w:space="0" w:color="auto"/>
        <w:bottom w:val="none" w:sz="0" w:space="0" w:color="auto"/>
        <w:right w:val="none" w:sz="0" w:space="0" w:color="auto"/>
      </w:divBdr>
    </w:div>
    <w:div w:id="1042635401">
      <w:bodyDiv w:val="1"/>
      <w:marLeft w:val="0"/>
      <w:marRight w:val="0"/>
      <w:marTop w:val="0"/>
      <w:marBottom w:val="0"/>
      <w:divBdr>
        <w:top w:val="none" w:sz="0" w:space="0" w:color="auto"/>
        <w:left w:val="none" w:sz="0" w:space="0" w:color="auto"/>
        <w:bottom w:val="none" w:sz="0" w:space="0" w:color="auto"/>
        <w:right w:val="none" w:sz="0" w:space="0" w:color="auto"/>
      </w:divBdr>
    </w:div>
    <w:div w:id="1076591628">
      <w:bodyDiv w:val="1"/>
      <w:marLeft w:val="0"/>
      <w:marRight w:val="0"/>
      <w:marTop w:val="0"/>
      <w:marBottom w:val="0"/>
      <w:divBdr>
        <w:top w:val="none" w:sz="0" w:space="0" w:color="auto"/>
        <w:left w:val="none" w:sz="0" w:space="0" w:color="auto"/>
        <w:bottom w:val="none" w:sz="0" w:space="0" w:color="auto"/>
        <w:right w:val="none" w:sz="0" w:space="0" w:color="auto"/>
      </w:divBdr>
    </w:div>
    <w:div w:id="1101338529">
      <w:bodyDiv w:val="1"/>
      <w:marLeft w:val="0"/>
      <w:marRight w:val="0"/>
      <w:marTop w:val="0"/>
      <w:marBottom w:val="0"/>
      <w:divBdr>
        <w:top w:val="none" w:sz="0" w:space="0" w:color="auto"/>
        <w:left w:val="none" w:sz="0" w:space="0" w:color="auto"/>
        <w:bottom w:val="none" w:sz="0" w:space="0" w:color="auto"/>
        <w:right w:val="none" w:sz="0" w:space="0" w:color="auto"/>
      </w:divBdr>
    </w:div>
    <w:div w:id="1212183905">
      <w:bodyDiv w:val="1"/>
      <w:marLeft w:val="0"/>
      <w:marRight w:val="0"/>
      <w:marTop w:val="0"/>
      <w:marBottom w:val="0"/>
      <w:divBdr>
        <w:top w:val="none" w:sz="0" w:space="0" w:color="auto"/>
        <w:left w:val="none" w:sz="0" w:space="0" w:color="auto"/>
        <w:bottom w:val="none" w:sz="0" w:space="0" w:color="auto"/>
        <w:right w:val="none" w:sz="0" w:space="0" w:color="auto"/>
      </w:divBdr>
    </w:div>
    <w:div w:id="1273198852">
      <w:bodyDiv w:val="1"/>
      <w:marLeft w:val="0"/>
      <w:marRight w:val="0"/>
      <w:marTop w:val="0"/>
      <w:marBottom w:val="0"/>
      <w:divBdr>
        <w:top w:val="none" w:sz="0" w:space="0" w:color="auto"/>
        <w:left w:val="none" w:sz="0" w:space="0" w:color="auto"/>
        <w:bottom w:val="none" w:sz="0" w:space="0" w:color="auto"/>
        <w:right w:val="none" w:sz="0" w:space="0" w:color="auto"/>
      </w:divBdr>
    </w:div>
    <w:div w:id="1277056131">
      <w:bodyDiv w:val="1"/>
      <w:marLeft w:val="0"/>
      <w:marRight w:val="0"/>
      <w:marTop w:val="0"/>
      <w:marBottom w:val="0"/>
      <w:divBdr>
        <w:top w:val="none" w:sz="0" w:space="0" w:color="auto"/>
        <w:left w:val="none" w:sz="0" w:space="0" w:color="auto"/>
        <w:bottom w:val="none" w:sz="0" w:space="0" w:color="auto"/>
        <w:right w:val="none" w:sz="0" w:space="0" w:color="auto"/>
      </w:divBdr>
    </w:div>
    <w:div w:id="1341394807">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411737219">
      <w:bodyDiv w:val="1"/>
      <w:marLeft w:val="0"/>
      <w:marRight w:val="0"/>
      <w:marTop w:val="0"/>
      <w:marBottom w:val="0"/>
      <w:divBdr>
        <w:top w:val="none" w:sz="0" w:space="0" w:color="auto"/>
        <w:left w:val="none" w:sz="0" w:space="0" w:color="auto"/>
        <w:bottom w:val="none" w:sz="0" w:space="0" w:color="auto"/>
        <w:right w:val="none" w:sz="0" w:space="0" w:color="auto"/>
      </w:divBdr>
    </w:div>
    <w:div w:id="1458260449">
      <w:bodyDiv w:val="1"/>
      <w:marLeft w:val="0"/>
      <w:marRight w:val="0"/>
      <w:marTop w:val="0"/>
      <w:marBottom w:val="0"/>
      <w:divBdr>
        <w:top w:val="none" w:sz="0" w:space="0" w:color="auto"/>
        <w:left w:val="none" w:sz="0" w:space="0" w:color="auto"/>
        <w:bottom w:val="none" w:sz="0" w:space="0" w:color="auto"/>
        <w:right w:val="none" w:sz="0" w:space="0" w:color="auto"/>
      </w:divBdr>
    </w:div>
    <w:div w:id="1598173663">
      <w:bodyDiv w:val="1"/>
      <w:marLeft w:val="0"/>
      <w:marRight w:val="0"/>
      <w:marTop w:val="0"/>
      <w:marBottom w:val="0"/>
      <w:divBdr>
        <w:top w:val="none" w:sz="0" w:space="0" w:color="auto"/>
        <w:left w:val="none" w:sz="0" w:space="0" w:color="auto"/>
        <w:bottom w:val="none" w:sz="0" w:space="0" w:color="auto"/>
        <w:right w:val="none" w:sz="0" w:space="0" w:color="auto"/>
      </w:divBdr>
    </w:div>
    <w:div w:id="1673993904">
      <w:bodyDiv w:val="1"/>
      <w:marLeft w:val="0"/>
      <w:marRight w:val="0"/>
      <w:marTop w:val="0"/>
      <w:marBottom w:val="0"/>
      <w:divBdr>
        <w:top w:val="none" w:sz="0" w:space="0" w:color="auto"/>
        <w:left w:val="none" w:sz="0" w:space="0" w:color="auto"/>
        <w:bottom w:val="none" w:sz="0" w:space="0" w:color="auto"/>
        <w:right w:val="none" w:sz="0" w:space="0" w:color="auto"/>
      </w:divBdr>
    </w:div>
    <w:div w:id="1679965549">
      <w:bodyDiv w:val="1"/>
      <w:marLeft w:val="0"/>
      <w:marRight w:val="0"/>
      <w:marTop w:val="0"/>
      <w:marBottom w:val="0"/>
      <w:divBdr>
        <w:top w:val="none" w:sz="0" w:space="0" w:color="auto"/>
        <w:left w:val="none" w:sz="0" w:space="0" w:color="auto"/>
        <w:bottom w:val="none" w:sz="0" w:space="0" w:color="auto"/>
        <w:right w:val="none" w:sz="0" w:space="0" w:color="auto"/>
      </w:divBdr>
    </w:div>
    <w:div w:id="1706056589">
      <w:bodyDiv w:val="1"/>
      <w:marLeft w:val="0"/>
      <w:marRight w:val="0"/>
      <w:marTop w:val="0"/>
      <w:marBottom w:val="0"/>
      <w:divBdr>
        <w:top w:val="none" w:sz="0" w:space="0" w:color="auto"/>
        <w:left w:val="none" w:sz="0" w:space="0" w:color="auto"/>
        <w:bottom w:val="none" w:sz="0" w:space="0" w:color="auto"/>
        <w:right w:val="none" w:sz="0" w:space="0" w:color="auto"/>
      </w:divBdr>
    </w:div>
    <w:div w:id="1717852857">
      <w:bodyDiv w:val="1"/>
      <w:marLeft w:val="0"/>
      <w:marRight w:val="0"/>
      <w:marTop w:val="0"/>
      <w:marBottom w:val="0"/>
      <w:divBdr>
        <w:top w:val="none" w:sz="0" w:space="0" w:color="auto"/>
        <w:left w:val="none" w:sz="0" w:space="0" w:color="auto"/>
        <w:bottom w:val="none" w:sz="0" w:space="0" w:color="auto"/>
        <w:right w:val="none" w:sz="0" w:space="0" w:color="auto"/>
      </w:divBdr>
    </w:div>
    <w:div w:id="1881818407">
      <w:bodyDiv w:val="1"/>
      <w:marLeft w:val="0"/>
      <w:marRight w:val="0"/>
      <w:marTop w:val="0"/>
      <w:marBottom w:val="0"/>
      <w:divBdr>
        <w:top w:val="none" w:sz="0" w:space="0" w:color="auto"/>
        <w:left w:val="none" w:sz="0" w:space="0" w:color="auto"/>
        <w:bottom w:val="none" w:sz="0" w:space="0" w:color="auto"/>
        <w:right w:val="none" w:sz="0" w:space="0" w:color="auto"/>
      </w:divBdr>
    </w:div>
    <w:div w:id="1904177188">
      <w:bodyDiv w:val="1"/>
      <w:marLeft w:val="0"/>
      <w:marRight w:val="0"/>
      <w:marTop w:val="0"/>
      <w:marBottom w:val="0"/>
      <w:divBdr>
        <w:top w:val="none" w:sz="0" w:space="0" w:color="auto"/>
        <w:left w:val="none" w:sz="0" w:space="0" w:color="auto"/>
        <w:bottom w:val="none" w:sz="0" w:space="0" w:color="auto"/>
        <w:right w:val="none" w:sz="0" w:space="0" w:color="auto"/>
      </w:divBdr>
    </w:div>
    <w:div w:id="1934589841">
      <w:bodyDiv w:val="1"/>
      <w:marLeft w:val="0"/>
      <w:marRight w:val="0"/>
      <w:marTop w:val="0"/>
      <w:marBottom w:val="0"/>
      <w:divBdr>
        <w:top w:val="none" w:sz="0" w:space="0" w:color="auto"/>
        <w:left w:val="none" w:sz="0" w:space="0" w:color="auto"/>
        <w:bottom w:val="none" w:sz="0" w:space="0" w:color="auto"/>
        <w:right w:val="none" w:sz="0" w:space="0" w:color="auto"/>
      </w:divBdr>
    </w:div>
    <w:div w:id="1954094357">
      <w:bodyDiv w:val="1"/>
      <w:marLeft w:val="0"/>
      <w:marRight w:val="0"/>
      <w:marTop w:val="0"/>
      <w:marBottom w:val="0"/>
      <w:divBdr>
        <w:top w:val="none" w:sz="0" w:space="0" w:color="auto"/>
        <w:left w:val="none" w:sz="0" w:space="0" w:color="auto"/>
        <w:bottom w:val="none" w:sz="0" w:space="0" w:color="auto"/>
        <w:right w:val="none" w:sz="0" w:space="0" w:color="auto"/>
      </w:divBdr>
    </w:div>
    <w:div w:id="2099718162">
      <w:bodyDiv w:val="1"/>
      <w:marLeft w:val="0"/>
      <w:marRight w:val="0"/>
      <w:marTop w:val="0"/>
      <w:marBottom w:val="0"/>
      <w:divBdr>
        <w:top w:val="none" w:sz="0" w:space="0" w:color="auto"/>
        <w:left w:val="none" w:sz="0" w:space="0" w:color="auto"/>
        <w:bottom w:val="none" w:sz="0" w:space="0" w:color="auto"/>
        <w:right w:val="none" w:sz="0" w:space="0" w:color="auto"/>
      </w:divBdr>
    </w:div>
    <w:div w:id="211192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8/03/13/oakton-community-college-builds-faculty-student-relationships-increase-persist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4D99-18C8-4B97-9E71-EEC0FB3A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Hammer</dc:creator>
  <cp:lastModifiedBy>Joyce Hammer</cp:lastModifiedBy>
  <cp:revision>2</cp:revision>
  <cp:lastPrinted>2018-02-26T20:53:00Z</cp:lastPrinted>
  <dcterms:created xsi:type="dcterms:W3CDTF">2018-04-26T00:23:00Z</dcterms:created>
  <dcterms:modified xsi:type="dcterms:W3CDTF">2018-04-26T00:23:00Z</dcterms:modified>
</cp:coreProperties>
</file>