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4B5" w:rsidRDefault="003534B5" w:rsidP="003534B5">
      <w:pPr>
        <w:spacing w:after="0" w:line="240" w:lineRule="auto"/>
        <w:rPr>
          <w:sz w:val="28"/>
          <w:szCs w:val="28"/>
        </w:rPr>
      </w:pPr>
      <w:r w:rsidRPr="00DD0FAD">
        <w:rPr>
          <w:rFonts w:eastAsia="Times New Roman"/>
          <w:b/>
          <w:bCs/>
          <w:noProof/>
          <w:sz w:val="32"/>
          <w:szCs w:val="32"/>
        </w:rPr>
        <w:drawing>
          <wp:anchor distT="0" distB="0" distL="114300" distR="114300" simplePos="0" relativeHeight="251659264" behindDoc="1" locked="0" layoutInCell="1" allowOverlap="1" wp14:anchorId="4A29D6A7" wp14:editId="421C8E9F">
            <wp:simplePos x="0" y="0"/>
            <wp:positionH relativeFrom="column">
              <wp:posOffset>0</wp:posOffset>
            </wp:positionH>
            <wp:positionV relativeFrom="paragraph">
              <wp:posOffset>9525</wp:posOffset>
            </wp:positionV>
            <wp:extent cx="1562100" cy="760027"/>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CTC Logo color-sm_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2100" cy="760027"/>
                    </a:xfrm>
                    <a:prstGeom prst="rect">
                      <a:avLst/>
                    </a:prstGeom>
                  </pic:spPr>
                </pic:pic>
              </a:graphicData>
            </a:graphic>
          </wp:anchor>
        </w:drawing>
      </w:r>
    </w:p>
    <w:p w:rsidR="003534B5" w:rsidRDefault="003534B5" w:rsidP="003534B5">
      <w:pPr>
        <w:spacing w:after="0" w:line="240" w:lineRule="auto"/>
        <w:rPr>
          <w:sz w:val="28"/>
          <w:szCs w:val="28"/>
        </w:rPr>
      </w:pPr>
    </w:p>
    <w:p w:rsidR="003534B5" w:rsidRDefault="003534B5" w:rsidP="003534B5">
      <w:pPr>
        <w:spacing w:after="0" w:line="240" w:lineRule="auto"/>
        <w:rPr>
          <w:sz w:val="28"/>
          <w:szCs w:val="28"/>
        </w:rPr>
      </w:pPr>
    </w:p>
    <w:p w:rsidR="003534B5" w:rsidRDefault="003534B5" w:rsidP="003534B5">
      <w:pPr>
        <w:spacing w:after="0" w:line="240" w:lineRule="auto"/>
        <w:rPr>
          <w:sz w:val="28"/>
          <w:szCs w:val="28"/>
        </w:rPr>
      </w:pPr>
    </w:p>
    <w:p w:rsidR="003534B5" w:rsidRDefault="00435A6A" w:rsidP="003534B5">
      <w:pPr>
        <w:spacing w:after="0" w:line="240" w:lineRule="auto"/>
        <w:jc w:val="center"/>
        <w:rPr>
          <w:sz w:val="28"/>
          <w:szCs w:val="28"/>
        </w:rPr>
      </w:pPr>
      <w:r w:rsidRPr="00F3641A">
        <w:rPr>
          <w:sz w:val="28"/>
          <w:szCs w:val="28"/>
        </w:rPr>
        <w:t>2018 SUPPLEMENTAL BUDGET</w:t>
      </w:r>
      <w:r w:rsidR="00F3641A">
        <w:rPr>
          <w:sz w:val="28"/>
          <w:szCs w:val="28"/>
        </w:rPr>
        <w:t xml:space="preserve"> </w:t>
      </w:r>
      <w:r w:rsidR="003534B5">
        <w:rPr>
          <w:sz w:val="28"/>
          <w:szCs w:val="28"/>
        </w:rPr>
        <w:t>REQUEST</w:t>
      </w:r>
    </w:p>
    <w:p w:rsidR="003534B5" w:rsidRDefault="003534B5" w:rsidP="00435A6A">
      <w:pPr>
        <w:spacing w:after="0" w:line="240" w:lineRule="auto"/>
        <w:rPr>
          <w:b/>
          <w:sz w:val="24"/>
          <w:szCs w:val="24"/>
        </w:rPr>
      </w:pPr>
      <w:bookmarkStart w:id="0" w:name="_GoBack"/>
      <w:bookmarkEnd w:id="0"/>
    </w:p>
    <w:p w:rsidR="00435A6A" w:rsidRDefault="00435A6A" w:rsidP="00435A6A">
      <w:pPr>
        <w:spacing w:after="0" w:line="240" w:lineRule="auto"/>
        <w:rPr>
          <w:b/>
          <w:sz w:val="24"/>
          <w:szCs w:val="24"/>
        </w:rPr>
      </w:pPr>
      <w:r w:rsidRPr="00435A6A">
        <w:rPr>
          <w:b/>
          <w:sz w:val="24"/>
          <w:szCs w:val="24"/>
        </w:rPr>
        <w:t>M2-A1 Adjust Compensation Funding</w:t>
      </w:r>
    </w:p>
    <w:p w:rsidR="00435A6A" w:rsidRDefault="00435A6A" w:rsidP="00435A6A">
      <w:pPr>
        <w:spacing w:after="0" w:line="240" w:lineRule="auto"/>
        <w:rPr>
          <w:sz w:val="24"/>
          <w:szCs w:val="24"/>
        </w:rPr>
      </w:pP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736"/>
        <w:gridCol w:w="1558"/>
        <w:gridCol w:w="1558"/>
        <w:gridCol w:w="1584"/>
        <w:gridCol w:w="1559"/>
      </w:tblGrid>
      <w:tr w:rsidR="00540F75" w:rsidRPr="00AC775E" w:rsidTr="00E9208C">
        <w:trPr>
          <w:trHeight w:val="598"/>
        </w:trPr>
        <w:tc>
          <w:tcPr>
            <w:tcW w:w="2736" w:type="dxa"/>
            <w:shd w:val="clear" w:color="auto" w:fill="DAEEF3" w:themeFill="accent5" w:themeFillTint="33"/>
            <w:vAlign w:val="center"/>
          </w:tcPr>
          <w:p w:rsidR="00540F75" w:rsidRPr="00AC775E" w:rsidRDefault="00540F75" w:rsidP="00E9208C">
            <w:pPr>
              <w:spacing w:before="40" w:after="40"/>
              <w:rPr>
                <w:rFonts w:ascii="Arial Narrow" w:hAnsi="Arial Narrow" w:cstheme="minorHAnsi"/>
                <w:sz w:val="24"/>
                <w:szCs w:val="26"/>
              </w:rPr>
            </w:pPr>
            <w:r w:rsidRPr="00AC775E">
              <w:rPr>
                <w:rFonts w:ascii="Arial Narrow" w:hAnsi="Arial Narrow"/>
                <w:b/>
                <w:sz w:val="24"/>
                <w:szCs w:val="26"/>
              </w:rPr>
              <w:t>Operating Expenditures</w:t>
            </w:r>
          </w:p>
        </w:tc>
        <w:tc>
          <w:tcPr>
            <w:tcW w:w="1558" w:type="dxa"/>
            <w:tcBorders>
              <w:bottom w:val="single" w:sz="2" w:space="0" w:color="D9D9D9" w:themeColor="background1" w:themeShade="D9"/>
            </w:tcBorders>
            <w:shd w:val="clear" w:color="auto" w:fill="DAEEF3" w:themeFill="accent5" w:themeFillTint="33"/>
            <w:vAlign w:val="center"/>
          </w:tcPr>
          <w:p w:rsidR="00540F75" w:rsidRPr="00AC775E" w:rsidRDefault="00540F75" w:rsidP="00E9208C">
            <w:pPr>
              <w:spacing w:before="40" w:after="40"/>
              <w:jc w:val="center"/>
              <w:rPr>
                <w:rFonts w:ascii="Arial Narrow" w:hAnsi="Arial Narrow" w:cstheme="minorHAnsi"/>
                <w:sz w:val="24"/>
                <w:szCs w:val="26"/>
              </w:rPr>
            </w:pPr>
            <w:r>
              <w:rPr>
                <w:rFonts w:ascii="Arial Narrow" w:hAnsi="Arial Narrow"/>
                <w:b/>
                <w:sz w:val="24"/>
                <w:szCs w:val="26"/>
              </w:rPr>
              <w:t>FY 2018</w:t>
            </w:r>
          </w:p>
        </w:tc>
        <w:tc>
          <w:tcPr>
            <w:tcW w:w="1558" w:type="dxa"/>
            <w:shd w:val="clear" w:color="auto" w:fill="DAEEF3" w:themeFill="accent5" w:themeFillTint="33"/>
            <w:vAlign w:val="center"/>
          </w:tcPr>
          <w:p w:rsidR="00540F75" w:rsidRPr="00AC775E" w:rsidRDefault="00540F75" w:rsidP="00E9208C">
            <w:pPr>
              <w:spacing w:before="40" w:after="40"/>
              <w:jc w:val="center"/>
              <w:rPr>
                <w:rFonts w:ascii="Arial Narrow" w:hAnsi="Arial Narrow" w:cstheme="minorHAnsi"/>
                <w:sz w:val="24"/>
                <w:szCs w:val="26"/>
              </w:rPr>
            </w:pPr>
            <w:r>
              <w:rPr>
                <w:rFonts w:ascii="Arial Narrow" w:hAnsi="Arial Narrow"/>
                <w:b/>
                <w:sz w:val="24"/>
                <w:szCs w:val="26"/>
              </w:rPr>
              <w:t>FY 2019</w:t>
            </w:r>
          </w:p>
        </w:tc>
        <w:tc>
          <w:tcPr>
            <w:tcW w:w="1584" w:type="dxa"/>
            <w:shd w:val="clear" w:color="auto" w:fill="DAEEF3" w:themeFill="accent5" w:themeFillTint="33"/>
            <w:vAlign w:val="center"/>
          </w:tcPr>
          <w:p w:rsidR="00540F75" w:rsidRPr="00AC775E" w:rsidRDefault="00540F75" w:rsidP="00E9208C">
            <w:pPr>
              <w:spacing w:before="40" w:after="40"/>
              <w:jc w:val="center"/>
              <w:rPr>
                <w:rFonts w:ascii="Arial Narrow" w:hAnsi="Arial Narrow" w:cstheme="minorHAnsi"/>
                <w:sz w:val="24"/>
                <w:szCs w:val="26"/>
              </w:rPr>
            </w:pPr>
            <w:r>
              <w:rPr>
                <w:rFonts w:ascii="Arial Narrow" w:hAnsi="Arial Narrow"/>
                <w:b/>
                <w:sz w:val="24"/>
                <w:szCs w:val="26"/>
              </w:rPr>
              <w:t>FY 2020</w:t>
            </w:r>
          </w:p>
        </w:tc>
        <w:tc>
          <w:tcPr>
            <w:tcW w:w="1559" w:type="dxa"/>
            <w:shd w:val="clear" w:color="auto" w:fill="DAEEF3" w:themeFill="accent5" w:themeFillTint="33"/>
            <w:vAlign w:val="center"/>
          </w:tcPr>
          <w:p w:rsidR="00540F75" w:rsidRPr="00AC775E" w:rsidRDefault="00540F75" w:rsidP="00E9208C">
            <w:pPr>
              <w:spacing w:before="40" w:after="40"/>
              <w:jc w:val="center"/>
              <w:rPr>
                <w:rFonts w:ascii="Arial Narrow" w:hAnsi="Arial Narrow" w:cstheme="minorHAnsi"/>
                <w:sz w:val="24"/>
                <w:szCs w:val="26"/>
              </w:rPr>
            </w:pPr>
            <w:r>
              <w:rPr>
                <w:rFonts w:ascii="Arial Narrow" w:hAnsi="Arial Narrow"/>
                <w:b/>
                <w:sz w:val="24"/>
                <w:szCs w:val="26"/>
              </w:rPr>
              <w:t>FY 2021</w:t>
            </w:r>
          </w:p>
        </w:tc>
      </w:tr>
      <w:tr w:rsidR="00540F75" w:rsidRPr="00AC775E" w:rsidTr="00E9208C">
        <w:tc>
          <w:tcPr>
            <w:tcW w:w="2736" w:type="dxa"/>
            <w:tcBorders>
              <w:bottom w:val="single" w:sz="2" w:space="0" w:color="D9D9D9" w:themeColor="background1" w:themeShade="D9"/>
            </w:tcBorders>
            <w:shd w:val="clear" w:color="auto" w:fill="auto"/>
            <w:vAlign w:val="center"/>
          </w:tcPr>
          <w:p w:rsidR="00540F75" w:rsidRPr="00AC775E" w:rsidRDefault="00540F75" w:rsidP="00E9208C">
            <w:pPr>
              <w:spacing w:before="40" w:after="40"/>
              <w:ind w:left="157"/>
              <w:rPr>
                <w:rFonts w:ascii="Arial Narrow" w:hAnsi="Arial Narrow" w:cstheme="minorHAnsi"/>
              </w:rPr>
            </w:pPr>
            <w:r w:rsidRPr="00AC775E">
              <w:rPr>
                <w:rFonts w:ascii="Arial Narrow" w:hAnsi="Arial Narrow"/>
              </w:rPr>
              <w:t xml:space="preserve">Fund </w:t>
            </w:r>
            <w:r>
              <w:rPr>
                <w:rFonts w:ascii="Arial Narrow" w:hAnsi="Arial Narrow"/>
              </w:rPr>
              <w:t>001-1</w:t>
            </w:r>
          </w:p>
        </w:tc>
        <w:tc>
          <w:tcPr>
            <w:tcW w:w="1558" w:type="dxa"/>
            <w:tcBorders>
              <w:bottom w:val="single" w:sz="2" w:space="0" w:color="D9D9D9" w:themeColor="background1" w:themeShade="D9"/>
            </w:tcBorders>
            <w:shd w:val="clear" w:color="auto" w:fill="auto"/>
            <w:vAlign w:val="center"/>
          </w:tcPr>
          <w:p w:rsidR="00540F75" w:rsidRPr="005F3AED" w:rsidRDefault="00540F75" w:rsidP="00E9208C">
            <w:pPr>
              <w:spacing w:before="40" w:after="40"/>
              <w:jc w:val="center"/>
              <w:rPr>
                <w:rFonts w:ascii="Arial Narrow" w:hAnsi="Arial Narrow" w:cstheme="minorHAnsi"/>
              </w:rPr>
            </w:pPr>
            <w:r>
              <w:rPr>
                <w:rFonts w:ascii="Arial Narrow" w:hAnsi="Arial Narrow" w:cstheme="minorHAnsi"/>
              </w:rPr>
              <w:t>2,211,000</w:t>
            </w:r>
          </w:p>
        </w:tc>
        <w:tc>
          <w:tcPr>
            <w:tcW w:w="1558" w:type="dxa"/>
            <w:tcBorders>
              <w:bottom w:val="single" w:sz="2" w:space="0" w:color="D9D9D9" w:themeColor="background1" w:themeShade="D9"/>
            </w:tcBorders>
            <w:shd w:val="clear" w:color="auto" w:fill="auto"/>
            <w:vAlign w:val="center"/>
          </w:tcPr>
          <w:p w:rsidR="00540F75" w:rsidRPr="00AC775E" w:rsidRDefault="00540F75" w:rsidP="00E9208C">
            <w:pPr>
              <w:spacing w:before="40" w:after="40"/>
              <w:jc w:val="center"/>
              <w:rPr>
                <w:rFonts w:ascii="Arial Narrow" w:hAnsi="Arial Narrow" w:cstheme="minorHAnsi"/>
              </w:rPr>
            </w:pPr>
            <w:r>
              <w:rPr>
                <w:rFonts w:ascii="Arial Narrow" w:hAnsi="Arial Narrow"/>
              </w:rPr>
              <w:t>6,795,000</w:t>
            </w:r>
          </w:p>
        </w:tc>
        <w:tc>
          <w:tcPr>
            <w:tcW w:w="1584" w:type="dxa"/>
            <w:tcBorders>
              <w:bottom w:val="single" w:sz="2" w:space="0" w:color="D9D9D9" w:themeColor="background1" w:themeShade="D9"/>
            </w:tcBorders>
            <w:shd w:val="clear" w:color="auto" w:fill="auto"/>
            <w:vAlign w:val="center"/>
          </w:tcPr>
          <w:p w:rsidR="00540F75" w:rsidRPr="00AC775E" w:rsidRDefault="00540F75" w:rsidP="00E9208C">
            <w:pPr>
              <w:spacing w:before="40" w:after="40"/>
              <w:jc w:val="center"/>
              <w:rPr>
                <w:rFonts w:ascii="Arial Narrow" w:hAnsi="Arial Narrow" w:cstheme="minorHAnsi"/>
              </w:rPr>
            </w:pPr>
            <w:r>
              <w:rPr>
                <w:rFonts w:ascii="Arial Narrow" w:hAnsi="Arial Narrow" w:cstheme="minorHAnsi"/>
              </w:rPr>
              <w:t>8,823,000</w:t>
            </w:r>
          </w:p>
        </w:tc>
        <w:tc>
          <w:tcPr>
            <w:tcW w:w="1559" w:type="dxa"/>
            <w:tcBorders>
              <w:bottom w:val="single" w:sz="2" w:space="0" w:color="D9D9D9" w:themeColor="background1" w:themeShade="D9"/>
            </w:tcBorders>
            <w:shd w:val="clear" w:color="auto" w:fill="auto"/>
            <w:vAlign w:val="center"/>
          </w:tcPr>
          <w:p w:rsidR="00540F75" w:rsidRPr="00AC775E" w:rsidRDefault="00540F75" w:rsidP="00E9208C">
            <w:pPr>
              <w:spacing w:before="40" w:after="40"/>
              <w:jc w:val="center"/>
              <w:rPr>
                <w:rFonts w:ascii="Arial Narrow" w:hAnsi="Arial Narrow" w:cstheme="minorHAnsi"/>
              </w:rPr>
            </w:pPr>
            <w:r>
              <w:rPr>
                <w:rFonts w:ascii="Arial Narrow" w:hAnsi="Arial Narrow" w:cstheme="minorHAnsi"/>
              </w:rPr>
              <w:t>9,728,000</w:t>
            </w:r>
          </w:p>
        </w:tc>
      </w:tr>
    </w:tbl>
    <w:p w:rsidR="00540F75" w:rsidRPr="00435A6A" w:rsidRDefault="00540F75" w:rsidP="00435A6A">
      <w:pPr>
        <w:spacing w:after="0" w:line="240" w:lineRule="auto"/>
        <w:rPr>
          <w:sz w:val="24"/>
          <w:szCs w:val="24"/>
        </w:rPr>
      </w:pPr>
    </w:p>
    <w:p w:rsidR="00435A6A" w:rsidRPr="00F3641A" w:rsidRDefault="00435A6A" w:rsidP="00435A6A">
      <w:pPr>
        <w:spacing w:after="60" w:line="240" w:lineRule="auto"/>
        <w:rPr>
          <w:rFonts w:ascii="Gill Sans MT" w:hAnsi="Gill Sans MT"/>
        </w:rPr>
      </w:pPr>
      <w:r w:rsidRPr="00F3641A">
        <w:rPr>
          <w:rFonts w:ascii="Gill Sans MT" w:hAnsi="Gill Sans MT"/>
        </w:rPr>
        <w:t xml:space="preserve">Under current policy, the community and technical college system resident tuition will increase by 2.2% in FY 2018 and 2.0% in FY 2019.  This is expected to generate approximately $7 million in the first fiscal year and $13.8 million in the second fiscal year.  Unfortunately, the projected new tuition revenue is not sufficient to cover the compensation increases in the enacted budget.  The Washington State Board for Community and Technical Colleges requests $9 million in state funds for the 2017-19 biennium.  These funds would be used to address the shortfall between the revenue generated from tuition increases and the compensation increases charged to the tuition account. Without this fix, colleges will have to reduce programs, student support or staff to cover the shortage. </w:t>
      </w:r>
    </w:p>
    <w:p w:rsidR="00540F75" w:rsidRDefault="00540F75" w:rsidP="00435A6A">
      <w:pPr>
        <w:spacing w:after="0" w:line="240" w:lineRule="auto"/>
        <w:rPr>
          <w:sz w:val="24"/>
          <w:szCs w:val="24"/>
        </w:rPr>
      </w:pPr>
    </w:p>
    <w:p w:rsidR="00540F75" w:rsidRDefault="00540F75" w:rsidP="00540F75">
      <w:pPr>
        <w:spacing w:after="0" w:line="240" w:lineRule="auto"/>
        <w:rPr>
          <w:b/>
          <w:sz w:val="24"/>
          <w:szCs w:val="24"/>
        </w:rPr>
      </w:pPr>
      <w:r w:rsidRPr="00435A6A">
        <w:rPr>
          <w:b/>
          <w:sz w:val="24"/>
          <w:szCs w:val="24"/>
        </w:rPr>
        <w:t>M2-A</w:t>
      </w:r>
      <w:r>
        <w:rPr>
          <w:b/>
          <w:sz w:val="24"/>
          <w:szCs w:val="24"/>
        </w:rPr>
        <w:t>2</w:t>
      </w:r>
      <w:r w:rsidRPr="00435A6A">
        <w:rPr>
          <w:b/>
          <w:sz w:val="24"/>
          <w:szCs w:val="24"/>
        </w:rPr>
        <w:t xml:space="preserve"> </w:t>
      </w:r>
      <w:r>
        <w:rPr>
          <w:b/>
          <w:sz w:val="24"/>
          <w:szCs w:val="24"/>
        </w:rPr>
        <w:t>Maintain Services Levels for Financial Aid Programs</w:t>
      </w:r>
    </w:p>
    <w:p w:rsidR="00540F75" w:rsidRDefault="00540F75" w:rsidP="00540F75">
      <w:pPr>
        <w:spacing w:after="0" w:line="240" w:lineRule="auto"/>
        <w:rPr>
          <w:b/>
          <w:sz w:val="24"/>
          <w:szCs w:val="24"/>
        </w:rPr>
      </w:pP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850"/>
        <w:gridCol w:w="1623"/>
        <w:gridCol w:w="1623"/>
        <w:gridCol w:w="1650"/>
        <w:gridCol w:w="1624"/>
      </w:tblGrid>
      <w:tr w:rsidR="00540F75" w:rsidRPr="00AC775E" w:rsidTr="00E9208C">
        <w:trPr>
          <w:trHeight w:val="595"/>
        </w:trPr>
        <w:tc>
          <w:tcPr>
            <w:tcW w:w="2850" w:type="dxa"/>
            <w:shd w:val="clear" w:color="auto" w:fill="DAEEF3" w:themeFill="accent5" w:themeFillTint="33"/>
            <w:vAlign w:val="center"/>
          </w:tcPr>
          <w:p w:rsidR="00540F75" w:rsidRPr="00AC775E" w:rsidRDefault="00540F75" w:rsidP="00E9208C">
            <w:pPr>
              <w:spacing w:before="40" w:after="40"/>
              <w:rPr>
                <w:rFonts w:ascii="Arial Narrow" w:hAnsi="Arial Narrow" w:cstheme="minorHAnsi"/>
                <w:sz w:val="24"/>
                <w:szCs w:val="26"/>
              </w:rPr>
            </w:pPr>
            <w:r w:rsidRPr="00AC775E">
              <w:rPr>
                <w:rFonts w:ascii="Arial Narrow" w:hAnsi="Arial Narrow"/>
                <w:b/>
                <w:sz w:val="24"/>
                <w:szCs w:val="26"/>
              </w:rPr>
              <w:t>Operating Expenditures</w:t>
            </w:r>
          </w:p>
        </w:tc>
        <w:tc>
          <w:tcPr>
            <w:tcW w:w="1623" w:type="dxa"/>
            <w:tcBorders>
              <w:bottom w:val="single" w:sz="2" w:space="0" w:color="D9D9D9" w:themeColor="background1" w:themeShade="D9"/>
            </w:tcBorders>
            <w:shd w:val="clear" w:color="auto" w:fill="DAEEF3" w:themeFill="accent5" w:themeFillTint="33"/>
            <w:vAlign w:val="center"/>
          </w:tcPr>
          <w:p w:rsidR="00540F75" w:rsidRPr="00AC775E" w:rsidRDefault="00540F75" w:rsidP="00E9208C">
            <w:pPr>
              <w:spacing w:before="40" w:after="40"/>
              <w:jc w:val="center"/>
              <w:rPr>
                <w:rFonts w:ascii="Arial Narrow" w:hAnsi="Arial Narrow" w:cstheme="minorHAnsi"/>
                <w:sz w:val="24"/>
                <w:szCs w:val="26"/>
              </w:rPr>
            </w:pPr>
            <w:r>
              <w:rPr>
                <w:rFonts w:ascii="Arial Narrow" w:hAnsi="Arial Narrow"/>
                <w:b/>
                <w:sz w:val="24"/>
                <w:szCs w:val="26"/>
              </w:rPr>
              <w:t>FY 2018</w:t>
            </w:r>
          </w:p>
        </w:tc>
        <w:tc>
          <w:tcPr>
            <w:tcW w:w="1623" w:type="dxa"/>
            <w:shd w:val="clear" w:color="auto" w:fill="DAEEF3" w:themeFill="accent5" w:themeFillTint="33"/>
            <w:vAlign w:val="center"/>
          </w:tcPr>
          <w:p w:rsidR="00540F75" w:rsidRPr="00AC775E" w:rsidRDefault="00540F75" w:rsidP="00E9208C">
            <w:pPr>
              <w:spacing w:before="40" w:after="40"/>
              <w:jc w:val="center"/>
              <w:rPr>
                <w:rFonts w:ascii="Arial Narrow" w:hAnsi="Arial Narrow" w:cstheme="minorHAnsi"/>
                <w:sz w:val="24"/>
                <w:szCs w:val="26"/>
              </w:rPr>
            </w:pPr>
            <w:r>
              <w:rPr>
                <w:rFonts w:ascii="Arial Narrow" w:hAnsi="Arial Narrow"/>
                <w:b/>
                <w:sz w:val="24"/>
                <w:szCs w:val="26"/>
              </w:rPr>
              <w:t>FY 2019</w:t>
            </w:r>
          </w:p>
        </w:tc>
        <w:tc>
          <w:tcPr>
            <w:tcW w:w="1650" w:type="dxa"/>
            <w:shd w:val="clear" w:color="auto" w:fill="DAEEF3" w:themeFill="accent5" w:themeFillTint="33"/>
            <w:vAlign w:val="center"/>
          </w:tcPr>
          <w:p w:rsidR="00540F75" w:rsidRPr="00AC775E" w:rsidRDefault="00540F75" w:rsidP="00E9208C">
            <w:pPr>
              <w:spacing w:before="40" w:after="40"/>
              <w:jc w:val="center"/>
              <w:rPr>
                <w:rFonts w:ascii="Arial Narrow" w:hAnsi="Arial Narrow" w:cstheme="minorHAnsi"/>
                <w:sz w:val="24"/>
                <w:szCs w:val="26"/>
              </w:rPr>
            </w:pPr>
            <w:r>
              <w:rPr>
                <w:rFonts w:ascii="Arial Narrow" w:hAnsi="Arial Narrow"/>
                <w:b/>
                <w:sz w:val="24"/>
                <w:szCs w:val="26"/>
              </w:rPr>
              <w:t>FY 2020</w:t>
            </w:r>
          </w:p>
        </w:tc>
        <w:tc>
          <w:tcPr>
            <w:tcW w:w="1624" w:type="dxa"/>
            <w:shd w:val="clear" w:color="auto" w:fill="DAEEF3" w:themeFill="accent5" w:themeFillTint="33"/>
            <w:vAlign w:val="center"/>
          </w:tcPr>
          <w:p w:rsidR="00540F75" w:rsidRPr="00AC775E" w:rsidRDefault="00540F75" w:rsidP="00E9208C">
            <w:pPr>
              <w:spacing w:before="40" w:after="40"/>
              <w:jc w:val="center"/>
              <w:rPr>
                <w:rFonts w:ascii="Arial Narrow" w:hAnsi="Arial Narrow" w:cstheme="minorHAnsi"/>
                <w:sz w:val="24"/>
                <w:szCs w:val="26"/>
              </w:rPr>
            </w:pPr>
            <w:r>
              <w:rPr>
                <w:rFonts w:ascii="Arial Narrow" w:hAnsi="Arial Narrow"/>
                <w:b/>
                <w:sz w:val="24"/>
                <w:szCs w:val="26"/>
              </w:rPr>
              <w:t>FY 2021</w:t>
            </w:r>
          </w:p>
        </w:tc>
      </w:tr>
      <w:tr w:rsidR="00540F75" w:rsidRPr="00AC775E" w:rsidTr="00E9208C">
        <w:trPr>
          <w:trHeight w:val="343"/>
        </w:trPr>
        <w:tc>
          <w:tcPr>
            <w:tcW w:w="2850" w:type="dxa"/>
            <w:tcBorders>
              <w:bottom w:val="single" w:sz="2" w:space="0" w:color="D9D9D9" w:themeColor="background1" w:themeShade="D9"/>
            </w:tcBorders>
            <w:vAlign w:val="center"/>
          </w:tcPr>
          <w:p w:rsidR="00540F75" w:rsidRPr="00AC775E" w:rsidRDefault="00540F75" w:rsidP="00E9208C">
            <w:pPr>
              <w:spacing w:before="40" w:after="40"/>
              <w:ind w:left="157"/>
              <w:rPr>
                <w:rFonts w:ascii="Arial Narrow" w:hAnsi="Arial Narrow" w:cstheme="minorHAnsi"/>
              </w:rPr>
            </w:pPr>
            <w:r w:rsidRPr="00AC775E">
              <w:rPr>
                <w:rFonts w:ascii="Arial Narrow" w:hAnsi="Arial Narrow"/>
              </w:rPr>
              <w:t xml:space="preserve">Fund </w:t>
            </w:r>
            <w:r>
              <w:rPr>
                <w:rFonts w:ascii="Arial Narrow" w:hAnsi="Arial Narrow"/>
              </w:rPr>
              <w:t>001-1</w:t>
            </w:r>
          </w:p>
        </w:tc>
        <w:tc>
          <w:tcPr>
            <w:tcW w:w="1623" w:type="dxa"/>
            <w:tcBorders>
              <w:bottom w:val="single" w:sz="2" w:space="0" w:color="D9D9D9" w:themeColor="background1" w:themeShade="D9"/>
            </w:tcBorders>
            <w:shd w:val="clear" w:color="auto" w:fill="A6A6A6" w:themeFill="background1" w:themeFillShade="A6"/>
            <w:vAlign w:val="center"/>
          </w:tcPr>
          <w:p w:rsidR="00540F75" w:rsidRPr="00AC775E" w:rsidRDefault="00540F75" w:rsidP="00E9208C">
            <w:pPr>
              <w:spacing w:before="40" w:after="40"/>
              <w:jc w:val="center"/>
              <w:rPr>
                <w:rFonts w:ascii="Arial Narrow" w:hAnsi="Arial Narrow" w:cstheme="minorHAnsi"/>
              </w:rPr>
            </w:pPr>
          </w:p>
        </w:tc>
        <w:tc>
          <w:tcPr>
            <w:tcW w:w="1623" w:type="dxa"/>
            <w:tcBorders>
              <w:bottom w:val="single" w:sz="2" w:space="0" w:color="D9D9D9" w:themeColor="background1" w:themeShade="D9"/>
            </w:tcBorders>
            <w:vAlign w:val="center"/>
          </w:tcPr>
          <w:p w:rsidR="00540F75" w:rsidRPr="00AC775E" w:rsidRDefault="00540F75" w:rsidP="00E9208C">
            <w:pPr>
              <w:spacing w:before="40" w:after="40"/>
              <w:jc w:val="center"/>
              <w:rPr>
                <w:rFonts w:ascii="Arial Narrow" w:hAnsi="Arial Narrow" w:cstheme="minorHAnsi"/>
              </w:rPr>
            </w:pPr>
            <w:r>
              <w:rPr>
                <w:rFonts w:ascii="Arial Narrow" w:hAnsi="Arial Narrow"/>
              </w:rPr>
              <w:t>745,000</w:t>
            </w:r>
          </w:p>
        </w:tc>
        <w:tc>
          <w:tcPr>
            <w:tcW w:w="1650" w:type="dxa"/>
            <w:tcBorders>
              <w:bottom w:val="single" w:sz="2" w:space="0" w:color="D9D9D9" w:themeColor="background1" w:themeShade="D9"/>
            </w:tcBorders>
            <w:vAlign w:val="center"/>
          </w:tcPr>
          <w:p w:rsidR="00540F75" w:rsidRPr="00AC775E" w:rsidRDefault="00540F75" w:rsidP="00E9208C">
            <w:pPr>
              <w:spacing w:before="40" w:after="40"/>
              <w:jc w:val="center"/>
              <w:rPr>
                <w:rFonts w:ascii="Arial Narrow" w:hAnsi="Arial Narrow" w:cstheme="minorHAnsi"/>
              </w:rPr>
            </w:pPr>
            <w:r>
              <w:rPr>
                <w:rFonts w:ascii="Arial Narrow" w:hAnsi="Arial Narrow"/>
              </w:rPr>
              <w:t>745,000</w:t>
            </w:r>
          </w:p>
        </w:tc>
        <w:tc>
          <w:tcPr>
            <w:tcW w:w="1624" w:type="dxa"/>
            <w:tcBorders>
              <w:bottom w:val="single" w:sz="2" w:space="0" w:color="D9D9D9" w:themeColor="background1" w:themeShade="D9"/>
            </w:tcBorders>
            <w:vAlign w:val="center"/>
          </w:tcPr>
          <w:p w:rsidR="00540F75" w:rsidRPr="00AC775E" w:rsidRDefault="00540F75" w:rsidP="00E9208C">
            <w:pPr>
              <w:spacing w:before="40" w:after="40"/>
              <w:jc w:val="center"/>
              <w:rPr>
                <w:rFonts w:ascii="Arial Narrow" w:hAnsi="Arial Narrow" w:cstheme="minorHAnsi"/>
              </w:rPr>
            </w:pPr>
            <w:r>
              <w:rPr>
                <w:rFonts w:ascii="Arial Narrow" w:hAnsi="Arial Narrow"/>
              </w:rPr>
              <w:t>745,000</w:t>
            </w:r>
          </w:p>
        </w:tc>
      </w:tr>
    </w:tbl>
    <w:p w:rsidR="00540F75" w:rsidRDefault="00540F75" w:rsidP="00540F75">
      <w:pPr>
        <w:spacing w:after="0" w:line="240" w:lineRule="auto"/>
        <w:rPr>
          <w:b/>
          <w:sz w:val="24"/>
          <w:szCs w:val="24"/>
        </w:rPr>
      </w:pPr>
    </w:p>
    <w:p w:rsidR="00540F75" w:rsidRPr="00F3641A" w:rsidRDefault="00540F75" w:rsidP="00540F75">
      <w:pPr>
        <w:spacing w:after="0" w:line="240" w:lineRule="auto"/>
        <w:rPr>
          <w:rFonts w:ascii="Gill Sans MT" w:hAnsi="Gill Sans MT"/>
        </w:rPr>
      </w:pPr>
      <w:r w:rsidRPr="00F3641A">
        <w:rPr>
          <w:rFonts w:ascii="Gill Sans MT" w:hAnsi="Gill Sans MT"/>
        </w:rPr>
        <w:t xml:space="preserve">The community and technical college system provides students with various types of financial aid to help pay for college.  </w:t>
      </w:r>
      <w:r w:rsidRPr="00F3641A">
        <w:rPr>
          <w:rFonts w:ascii="Gill Sans MT" w:hAnsi="Gill Sans MT" w:cs="Helvetica"/>
          <w:color w:val="000000"/>
          <w:lang w:val="en"/>
        </w:rPr>
        <w:t xml:space="preserve">Financial aid helps students enroll in college, and remain in college, so they can successfully pursue their educational goals.  </w:t>
      </w:r>
      <w:r w:rsidRPr="00F3641A">
        <w:rPr>
          <w:rFonts w:ascii="Gill Sans MT" w:hAnsi="Gill Sans MT"/>
        </w:rPr>
        <w:t xml:space="preserve">As tuition fees increase, fewer students are served using existing financial aid resources. </w:t>
      </w:r>
    </w:p>
    <w:p w:rsidR="00540F75" w:rsidRPr="00F3641A" w:rsidRDefault="00540F75" w:rsidP="00540F75">
      <w:pPr>
        <w:spacing w:after="0" w:line="240" w:lineRule="auto"/>
        <w:rPr>
          <w:rFonts w:ascii="Gill Sans MT" w:hAnsi="Gill Sans MT"/>
        </w:rPr>
      </w:pPr>
    </w:p>
    <w:p w:rsidR="00540F75" w:rsidRPr="00F3641A" w:rsidRDefault="00540F75" w:rsidP="00540F75">
      <w:pPr>
        <w:spacing w:after="0" w:line="240" w:lineRule="auto"/>
        <w:rPr>
          <w:rFonts w:ascii="Gill Sans MT" w:hAnsi="Gill Sans MT"/>
        </w:rPr>
      </w:pPr>
      <w:r w:rsidRPr="00F3641A">
        <w:rPr>
          <w:rFonts w:ascii="Gill Sans MT" w:hAnsi="Gill Sans MT"/>
        </w:rPr>
        <w:t xml:space="preserve">The State Board for Community and Technical Colleges requests approximately $745,000 for FY 2019 to allow two financial aid programs (Opportunity Grant and Worker Retraining ) to continue to serve the 9,000 students reached  in the 2016-17 academic year  These financial aid programs provide financial support to help students move into high-demand jobs.  </w:t>
      </w:r>
    </w:p>
    <w:p w:rsidR="00540F75" w:rsidRDefault="00540F75" w:rsidP="00540F75">
      <w:pPr>
        <w:spacing w:after="0" w:line="240" w:lineRule="auto"/>
        <w:rPr>
          <w:b/>
          <w:sz w:val="24"/>
          <w:szCs w:val="24"/>
        </w:rPr>
      </w:pPr>
    </w:p>
    <w:p w:rsidR="00540F75" w:rsidRDefault="00540F75" w:rsidP="00540F75">
      <w:pPr>
        <w:spacing w:after="0" w:line="240" w:lineRule="auto"/>
        <w:rPr>
          <w:b/>
          <w:sz w:val="24"/>
          <w:szCs w:val="24"/>
        </w:rPr>
      </w:pPr>
      <w:r w:rsidRPr="00435A6A">
        <w:rPr>
          <w:b/>
          <w:sz w:val="24"/>
          <w:szCs w:val="24"/>
        </w:rPr>
        <w:t>M2-A</w:t>
      </w:r>
      <w:r>
        <w:rPr>
          <w:b/>
          <w:sz w:val="24"/>
          <w:szCs w:val="24"/>
        </w:rPr>
        <w:t>3</w:t>
      </w:r>
      <w:r w:rsidRPr="00435A6A">
        <w:rPr>
          <w:b/>
          <w:sz w:val="24"/>
          <w:szCs w:val="24"/>
        </w:rPr>
        <w:t xml:space="preserve"> </w:t>
      </w:r>
      <w:r>
        <w:rPr>
          <w:b/>
          <w:sz w:val="24"/>
          <w:szCs w:val="24"/>
        </w:rPr>
        <w:t>Transfer M&amp;O Authority to Operating Budget</w:t>
      </w:r>
    </w:p>
    <w:p w:rsidR="00540F75" w:rsidRDefault="00540F75" w:rsidP="00540F75">
      <w:pPr>
        <w:spacing w:after="0" w:line="240" w:lineRule="auto"/>
        <w:rPr>
          <w:b/>
          <w:sz w:val="24"/>
          <w:szCs w:val="24"/>
        </w:rPr>
      </w:pP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736"/>
        <w:gridCol w:w="1558"/>
        <w:gridCol w:w="1558"/>
        <w:gridCol w:w="1584"/>
        <w:gridCol w:w="1559"/>
      </w:tblGrid>
      <w:tr w:rsidR="00540F75" w:rsidRPr="00AC775E" w:rsidTr="00E9208C">
        <w:trPr>
          <w:trHeight w:val="598"/>
        </w:trPr>
        <w:tc>
          <w:tcPr>
            <w:tcW w:w="2736" w:type="dxa"/>
            <w:shd w:val="clear" w:color="auto" w:fill="DAEEF3" w:themeFill="accent5" w:themeFillTint="33"/>
            <w:vAlign w:val="center"/>
          </w:tcPr>
          <w:p w:rsidR="00540F75" w:rsidRPr="00AC775E" w:rsidRDefault="00540F75" w:rsidP="00E9208C">
            <w:pPr>
              <w:spacing w:before="40" w:after="40"/>
              <w:rPr>
                <w:rFonts w:ascii="Arial Narrow" w:hAnsi="Arial Narrow" w:cstheme="minorHAnsi"/>
                <w:sz w:val="24"/>
                <w:szCs w:val="26"/>
              </w:rPr>
            </w:pPr>
            <w:r w:rsidRPr="00AC775E">
              <w:rPr>
                <w:rFonts w:ascii="Arial Narrow" w:hAnsi="Arial Narrow"/>
                <w:b/>
                <w:sz w:val="24"/>
                <w:szCs w:val="26"/>
              </w:rPr>
              <w:t>Operating Expenditures</w:t>
            </w:r>
          </w:p>
        </w:tc>
        <w:tc>
          <w:tcPr>
            <w:tcW w:w="1558" w:type="dxa"/>
            <w:shd w:val="clear" w:color="auto" w:fill="DAEEF3" w:themeFill="accent5" w:themeFillTint="33"/>
            <w:vAlign w:val="center"/>
          </w:tcPr>
          <w:p w:rsidR="00540F75" w:rsidRPr="00AC775E" w:rsidRDefault="00540F75" w:rsidP="00E9208C">
            <w:pPr>
              <w:spacing w:before="40" w:after="40"/>
              <w:jc w:val="center"/>
              <w:rPr>
                <w:rFonts w:ascii="Arial Narrow" w:hAnsi="Arial Narrow" w:cstheme="minorHAnsi"/>
                <w:sz w:val="24"/>
                <w:szCs w:val="26"/>
              </w:rPr>
            </w:pPr>
            <w:r>
              <w:rPr>
                <w:rFonts w:ascii="Arial Narrow" w:hAnsi="Arial Narrow"/>
                <w:b/>
                <w:sz w:val="24"/>
                <w:szCs w:val="26"/>
              </w:rPr>
              <w:t>FY 2018</w:t>
            </w:r>
          </w:p>
        </w:tc>
        <w:tc>
          <w:tcPr>
            <w:tcW w:w="1558" w:type="dxa"/>
            <w:shd w:val="clear" w:color="auto" w:fill="DAEEF3" w:themeFill="accent5" w:themeFillTint="33"/>
            <w:vAlign w:val="center"/>
          </w:tcPr>
          <w:p w:rsidR="00540F75" w:rsidRPr="00AC775E" w:rsidRDefault="00540F75" w:rsidP="00E9208C">
            <w:pPr>
              <w:spacing w:before="40" w:after="40"/>
              <w:jc w:val="center"/>
              <w:rPr>
                <w:rFonts w:ascii="Arial Narrow" w:hAnsi="Arial Narrow" w:cstheme="minorHAnsi"/>
                <w:sz w:val="24"/>
                <w:szCs w:val="26"/>
              </w:rPr>
            </w:pPr>
            <w:r>
              <w:rPr>
                <w:rFonts w:ascii="Arial Narrow" w:hAnsi="Arial Narrow"/>
                <w:b/>
                <w:sz w:val="24"/>
                <w:szCs w:val="26"/>
              </w:rPr>
              <w:t>FY 2019</w:t>
            </w:r>
          </w:p>
        </w:tc>
        <w:tc>
          <w:tcPr>
            <w:tcW w:w="1584" w:type="dxa"/>
            <w:shd w:val="clear" w:color="auto" w:fill="DAEEF3" w:themeFill="accent5" w:themeFillTint="33"/>
            <w:vAlign w:val="center"/>
          </w:tcPr>
          <w:p w:rsidR="00540F75" w:rsidRPr="00AC775E" w:rsidRDefault="00540F75" w:rsidP="00E9208C">
            <w:pPr>
              <w:spacing w:before="40" w:after="40"/>
              <w:jc w:val="center"/>
              <w:rPr>
                <w:rFonts w:ascii="Arial Narrow" w:hAnsi="Arial Narrow" w:cstheme="minorHAnsi"/>
                <w:sz w:val="24"/>
                <w:szCs w:val="26"/>
              </w:rPr>
            </w:pPr>
            <w:r>
              <w:rPr>
                <w:rFonts w:ascii="Arial Narrow" w:hAnsi="Arial Narrow"/>
                <w:b/>
                <w:sz w:val="24"/>
                <w:szCs w:val="26"/>
              </w:rPr>
              <w:t>FY 2020</w:t>
            </w:r>
          </w:p>
        </w:tc>
        <w:tc>
          <w:tcPr>
            <w:tcW w:w="1559" w:type="dxa"/>
            <w:shd w:val="clear" w:color="auto" w:fill="DAEEF3" w:themeFill="accent5" w:themeFillTint="33"/>
            <w:vAlign w:val="center"/>
          </w:tcPr>
          <w:p w:rsidR="00540F75" w:rsidRPr="00AC775E" w:rsidRDefault="00540F75" w:rsidP="00E9208C">
            <w:pPr>
              <w:spacing w:before="40" w:after="40"/>
              <w:jc w:val="center"/>
              <w:rPr>
                <w:rFonts w:ascii="Arial Narrow" w:hAnsi="Arial Narrow" w:cstheme="minorHAnsi"/>
                <w:sz w:val="24"/>
                <w:szCs w:val="26"/>
              </w:rPr>
            </w:pPr>
            <w:r>
              <w:rPr>
                <w:rFonts w:ascii="Arial Narrow" w:hAnsi="Arial Narrow"/>
                <w:b/>
                <w:sz w:val="24"/>
                <w:szCs w:val="26"/>
              </w:rPr>
              <w:t>FY 2021</w:t>
            </w:r>
          </w:p>
        </w:tc>
      </w:tr>
      <w:tr w:rsidR="00540F75" w:rsidRPr="00AC775E" w:rsidTr="00E9208C">
        <w:tc>
          <w:tcPr>
            <w:tcW w:w="2736" w:type="dxa"/>
            <w:vAlign w:val="center"/>
          </w:tcPr>
          <w:p w:rsidR="00540F75" w:rsidRPr="00AC775E" w:rsidRDefault="00540F75" w:rsidP="00E9208C">
            <w:pPr>
              <w:spacing w:before="40" w:after="40"/>
              <w:ind w:left="157"/>
              <w:rPr>
                <w:rFonts w:ascii="Arial Narrow" w:hAnsi="Arial Narrow" w:cstheme="minorHAnsi"/>
              </w:rPr>
            </w:pPr>
            <w:r w:rsidRPr="00AC775E">
              <w:rPr>
                <w:rFonts w:ascii="Arial Narrow" w:hAnsi="Arial Narrow"/>
              </w:rPr>
              <w:t xml:space="preserve">Fund </w:t>
            </w:r>
            <w:r>
              <w:rPr>
                <w:rFonts w:ascii="Arial Narrow" w:hAnsi="Arial Narrow"/>
              </w:rPr>
              <w:t>060-1</w:t>
            </w:r>
          </w:p>
        </w:tc>
        <w:tc>
          <w:tcPr>
            <w:tcW w:w="1558" w:type="dxa"/>
            <w:shd w:val="clear" w:color="auto" w:fill="auto"/>
            <w:vAlign w:val="center"/>
          </w:tcPr>
          <w:p w:rsidR="00540F75" w:rsidRPr="001B3D80" w:rsidRDefault="00540F75" w:rsidP="00E9208C">
            <w:pPr>
              <w:spacing w:before="40" w:after="40"/>
              <w:jc w:val="center"/>
              <w:rPr>
                <w:rFonts w:ascii="Arial Narrow" w:hAnsi="Arial Narrow" w:cstheme="minorHAnsi"/>
              </w:rPr>
            </w:pPr>
            <w:r>
              <w:rPr>
                <w:rFonts w:ascii="Arial Narrow" w:hAnsi="Arial Narrow" w:cstheme="minorHAnsi"/>
              </w:rPr>
              <w:t>11,400,000</w:t>
            </w:r>
          </w:p>
        </w:tc>
        <w:tc>
          <w:tcPr>
            <w:tcW w:w="1558" w:type="dxa"/>
            <w:vAlign w:val="center"/>
          </w:tcPr>
          <w:p w:rsidR="00540F75" w:rsidRPr="00AC775E" w:rsidRDefault="00540F75" w:rsidP="00E9208C">
            <w:pPr>
              <w:spacing w:before="40" w:after="40"/>
              <w:jc w:val="center"/>
              <w:rPr>
                <w:rFonts w:ascii="Arial Narrow" w:hAnsi="Arial Narrow" w:cstheme="minorHAnsi"/>
              </w:rPr>
            </w:pPr>
            <w:r>
              <w:rPr>
                <w:rFonts w:ascii="Arial Narrow" w:hAnsi="Arial Narrow"/>
              </w:rPr>
              <w:t>11,400,000</w:t>
            </w:r>
          </w:p>
        </w:tc>
        <w:tc>
          <w:tcPr>
            <w:tcW w:w="1584" w:type="dxa"/>
            <w:vAlign w:val="center"/>
          </w:tcPr>
          <w:p w:rsidR="00540F75" w:rsidRPr="00AC775E" w:rsidRDefault="00540F75" w:rsidP="00E9208C">
            <w:pPr>
              <w:spacing w:before="40" w:after="40"/>
              <w:jc w:val="center"/>
              <w:rPr>
                <w:rFonts w:ascii="Arial Narrow" w:hAnsi="Arial Narrow" w:cstheme="minorHAnsi"/>
              </w:rPr>
            </w:pPr>
            <w:r>
              <w:rPr>
                <w:rFonts w:ascii="Arial Narrow" w:hAnsi="Arial Narrow"/>
              </w:rPr>
              <w:t>11,400,000</w:t>
            </w:r>
          </w:p>
        </w:tc>
        <w:tc>
          <w:tcPr>
            <w:tcW w:w="1559" w:type="dxa"/>
            <w:vAlign w:val="center"/>
          </w:tcPr>
          <w:p w:rsidR="00540F75" w:rsidRPr="00AC775E" w:rsidRDefault="00540F75" w:rsidP="00E9208C">
            <w:pPr>
              <w:spacing w:before="40" w:after="40"/>
              <w:jc w:val="center"/>
              <w:rPr>
                <w:rFonts w:ascii="Arial Narrow" w:hAnsi="Arial Narrow" w:cstheme="minorHAnsi"/>
              </w:rPr>
            </w:pPr>
            <w:r>
              <w:rPr>
                <w:rFonts w:ascii="Arial Narrow" w:hAnsi="Arial Narrow"/>
              </w:rPr>
              <w:t>11,400,000</w:t>
            </w:r>
          </w:p>
        </w:tc>
      </w:tr>
    </w:tbl>
    <w:p w:rsidR="00540F75" w:rsidRDefault="00540F75" w:rsidP="00435A6A">
      <w:pPr>
        <w:spacing w:after="0" w:line="240" w:lineRule="auto"/>
        <w:rPr>
          <w:sz w:val="24"/>
          <w:szCs w:val="24"/>
        </w:rPr>
      </w:pPr>
    </w:p>
    <w:p w:rsidR="00540F75" w:rsidRPr="00F3641A" w:rsidRDefault="00540F75" w:rsidP="00540F75">
      <w:pPr>
        <w:spacing w:after="0" w:line="240" w:lineRule="auto"/>
        <w:rPr>
          <w:rFonts w:ascii="Gill Sans MT" w:hAnsi="Gill Sans MT"/>
        </w:rPr>
      </w:pPr>
      <w:r w:rsidRPr="00F3641A">
        <w:rPr>
          <w:rFonts w:ascii="Gill Sans MT" w:hAnsi="Gill Sans MT"/>
        </w:rPr>
        <w:t>The community and technical college system devotes a portion of its’ funding to routine maintenance and operations (M&amp;O) to preserve or maintain grounds, buildings and equipment in an orderly, safe, clean, and acceptable working condition.</w:t>
      </w:r>
    </w:p>
    <w:p w:rsidR="00540F75" w:rsidRPr="00F3641A" w:rsidRDefault="00540F75" w:rsidP="00540F75">
      <w:pPr>
        <w:spacing w:after="0" w:line="240" w:lineRule="auto"/>
        <w:rPr>
          <w:rFonts w:ascii="Gill Sans MT" w:hAnsi="Gill Sans MT"/>
        </w:rPr>
      </w:pPr>
    </w:p>
    <w:p w:rsidR="00540F75" w:rsidRPr="00F3641A" w:rsidRDefault="00540F75" w:rsidP="00540F75">
      <w:pPr>
        <w:spacing w:after="0" w:line="240" w:lineRule="auto"/>
        <w:rPr>
          <w:rFonts w:ascii="Gill Sans MT" w:hAnsi="Gill Sans MT"/>
        </w:rPr>
      </w:pPr>
      <w:r w:rsidRPr="00F3641A">
        <w:rPr>
          <w:rFonts w:ascii="Gill Sans MT" w:hAnsi="Gill Sans MT"/>
        </w:rPr>
        <w:t>In the past, funds for these activities were appropriated in the operating budget as general fund-state (GFS), but were switched to funds in the capital budget starting in the 2003-05 biennium. For several biennia, funds have been appropriated from the CTC - Capital Projects Account (28B.50.360).  Since these funds continue to be used to support expenditures of an operating nature, the Washington State Board for Community and Technical Colleges (SBCTC) requests this funding be included in the operating budget.</w:t>
      </w:r>
    </w:p>
    <w:p w:rsidR="00540F75" w:rsidRPr="00F3641A" w:rsidRDefault="00540F75" w:rsidP="00540F75">
      <w:pPr>
        <w:spacing w:after="0" w:line="240" w:lineRule="auto"/>
        <w:rPr>
          <w:rFonts w:ascii="Gill Sans MT" w:hAnsi="Gill Sans MT"/>
        </w:rPr>
      </w:pPr>
    </w:p>
    <w:p w:rsidR="003C4880" w:rsidRPr="00F3641A" w:rsidRDefault="00540F75" w:rsidP="00540F75">
      <w:pPr>
        <w:spacing w:after="0" w:line="240" w:lineRule="auto"/>
        <w:rPr>
          <w:rFonts w:ascii="Gill Sans MT" w:hAnsi="Gill Sans MT"/>
        </w:rPr>
      </w:pPr>
      <w:r w:rsidRPr="00F3641A">
        <w:rPr>
          <w:rFonts w:ascii="Gill Sans MT" w:hAnsi="Gill Sans MT"/>
        </w:rPr>
        <w:t>The SBCTC requests that $22.8 million ($11.4 million per year) in spending authority be transferred from the capital budget to the operating budget. This request would not change the funding source nor increase the amount appropriated.  It would change only the budget (from capital to operating) that authorizes colleges to spend funds that are already being collected.  A corresponding request to transfer spending authority is being made in the 2018 Capital Supplemental Budget request.</w:t>
      </w:r>
    </w:p>
    <w:p w:rsidR="00540F75" w:rsidRDefault="00540F75" w:rsidP="00435A6A">
      <w:pPr>
        <w:spacing w:after="0" w:line="240" w:lineRule="auto"/>
        <w:rPr>
          <w:sz w:val="24"/>
          <w:szCs w:val="24"/>
        </w:rPr>
      </w:pPr>
    </w:p>
    <w:p w:rsidR="00540F75" w:rsidRDefault="00540F75" w:rsidP="00540F75">
      <w:pPr>
        <w:spacing w:after="0" w:line="240" w:lineRule="auto"/>
        <w:rPr>
          <w:b/>
          <w:sz w:val="24"/>
          <w:szCs w:val="24"/>
        </w:rPr>
      </w:pPr>
      <w:r>
        <w:rPr>
          <w:b/>
          <w:sz w:val="24"/>
          <w:szCs w:val="24"/>
        </w:rPr>
        <w:t>PL</w:t>
      </w:r>
      <w:r w:rsidRPr="00435A6A">
        <w:rPr>
          <w:b/>
          <w:sz w:val="24"/>
          <w:szCs w:val="24"/>
        </w:rPr>
        <w:t>-A</w:t>
      </w:r>
      <w:r>
        <w:rPr>
          <w:b/>
          <w:sz w:val="24"/>
          <w:szCs w:val="24"/>
        </w:rPr>
        <w:t>4</w:t>
      </w:r>
      <w:r w:rsidRPr="00435A6A">
        <w:rPr>
          <w:b/>
          <w:sz w:val="24"/>
          <w:szCs w:val="24"/>
        </w:rPr>
        <w:t xml:space="preserve"> </w:t>
      </w:r>
      <w:r>
        <w:rPr>
          <w:b/>
          <w:sz w:val="24"/>
          <w:szCs w:val="24"/>
        </w:rPr>
        <w:t>Invest in Teaching and Learning</w:t>
      </w:r>
    </w:p>
    <w:p w:rsidR="00540F75" w:rsidRDefault="00540F75" w:rsidP="00540F75">
      <w:pPr>
        <w:spacing w:after="0" w:line="240" w:lineRule="auto"/>
        <w:rPr>
          <w:b/>
          <w:sz w:val="24"/>
          <w:szCs w:val="24"/>
        </w:rPr>
      </w:pP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736"/>
        <w:gridCol w:w="1558"/>
        <w:gridCol w:w="1558"/>
        <w:gridCol w:w="1584"/>
        <w:gridCol w:w="1559"/>
      </w:tblGrid>
      <w:tr w:rsidR="00540F75" w:rsidRPr="00AC775E" w:rsidTr="00E9208C">
        <w:trPr>
          <w:trHeight w:val="598"/>
        </w:trPr>
        <w:tc>
          <w:tcPr>
            <w:tcW w:w="2736" w:type="dxa"/>
            <w:shd w:val="clear" w:color="auto" w:fill="DAEEF3" w:themeFill="accent5" w:themeFillTint="33"/>
            <w:vAlign w:val="center"/>
          </w:tcPr>
          <w:p w:rsidR="00540F75" w:rsidRPr="00AC775E" w:rsidRDefault="00540F75" w:rsidP="00E9208C">
            <w:pPr>
              <w:spacing w:before="40" w:after="40"/>
              <w:rPr>
                <w:rFonts w:ascii="Arial Narrow" w:hAnsi="Arial Narrow" w:cstheme="minorHAnsi"/>
                <w:sz w:val="24"/>
                <w:szCs w:val="26"/>
              </w:rPr>
            </w:pPr>
            <w:r w:rsidRPr="00AC775E">
              <w:rPr>
                <w:rFonts w:ascii="Arial Narrow" w:hAnsi="Arial Narrow"/>
                <w:b/>
                <w:sz w:val="24"/>
                <w:szCs w:val="26"/>
              </w:rPr>
              <w:t>Operating Expenditures</w:t>
            </w:r>
          </w:p>
        </w:tc>
        <w:tc>
          <w:tcPr>
            <w:tcW w:w="1558" w:type="dxa"/>
            <w:tcBorders>
              <w:bottom w:val="single" w:sz="2" w:space="0" w:color="D9D9D9" w:themeColor="background1" w:themeShade="D9"/>
            </w:tcBorders>
            <w:shd w:val="clear" w:color="auto" w:fill="DAEEF3" w:themeFill="accent5" w:themeFillTint="33"/>
            <w:vAlign w:val="center"/>
          </w:tcPr>
          <w:p w:rsidR="00540F75" w:rsidRPr="00AC775E" w:rsidRDefault="00540F75" w:rsidP="00E9208C">
            <w:pPr>
              <w:spacing w:before="40" w:after="40"/>
              <w:jc w:val="center"/>
              <w:rPr>
                <w:rFonts w:ascii="Arial Narrow" w:hAnsi="Arial Narrow" w:cstheme="minorHAnsi"/>
                <w:sz w:val="24"/>
                <w:szCs w:val="26"/>
              </w:rPr>
            </w:pPr>
            <w:r>
              <w:rPr>
                <w:rFonts w:ascii="Arial Narrow" w:hAnsi="Arial Narrow"/>
                <w:b/>
                <w:sz w:val="24"/>
                <w:szCs w:val="26"/>
              </w:rPr>
              <w:t>FY 2018</w:t>
            </w:r>
          </w:p>
        </w:tc>
        <w:tc>
          <w:tcPr>
            <w:tcW w:w="1558" w:type="dxa"/>
            <w:shd w:val="clear" w:color="auto" w:fill="DAEEF3" w:themeFill="accent5" w:themeFillTint="33"/>
            <w:vAlign w:val="center"/>
          </w:tcPr>
          <w:p w:rsidR="00540F75" w:rsidRPr="00AC775E" w:rsidRDefault="00540F75" w:rsidP="00E9208C">
            <w:pPr>
              <w:spacing w:before="40" w:after="40"/>
              <w:jc w:val="center"/>
              <w:rPr>
                <w:rFonts w:ascii="Arial Narrow" w:hAnsi="Arial Narrow" w:cstheme="minorHAnsi"/>
                <w:sz w:val="24"/>
                <w:szCs w:val="26"/>
              </w:rPr>
            </w:pPr>
            <w:r>
              <w:rPr>
                <w:rFonts w:ascii="Arial Narrow" w:hAnsi="Arial Narrow"/>
                <w:b/>
                <w:sz w:val="24"/>
                <w:szCs w:val="26"/>
              </w:rPr>
              <w:t>FY 2019</w:t>
            </w:r>
          </w:p>
        </w:tc>
        <w:tc>
          <w:tcPr>
            <w:tcW w:w="1584" w:type="dxa"/>
            <w:shd w:val="clear" w:color="auto" w:fill="DAEEF3" w:themeFill="accent5" w:themeFillTint="33"/>
            <w:vAlign w:val="center"/>
          </w:tcPr>
          <w:p w:rsidR="00540F75" w:rsidRPr="00AC775E" w:rsidRDefault="00540F75" w:rsidP="00E9208C">
            <w:pPr>
              <w:spacing w:before="40" w:after="40"/>
              <w:jc w:val="center"/>
              <w:rPr>
                <w:rFonts w:ascii="Arial Narrow" w:hAnsi="Arial Narrow" w:cstheme="minorHAnsi"/>
                <w:sz w:val="24"/>
                <w:szCs w:val="26"/>
              </w:rPr>
            </w:pPr>
            <w:r>
              <w:rPr>
                <w:rFonts w:ascii="Arial Narrow" w:hAnsi="Arial Narrow"/>
                <w:b/>
                <w:sz w:val="24"/>
                <w:szCs w:val="26"/>
              </w:rPr>
              <w:t>FY 2020</w:t>
            </w:r>
          </w:p>
        </w:tc>
        <w:tc>
          <w:tcPr>
            <w:tcW w:w="1559" w:type="dxa"/>
            <w:shd w:val="clear" w:color="auto" w:fill="DAEEF3" w:themeFill="accent5" w:themeFillTint="33"/>
            <w:vAlign w:val="center"/>
          </w:tcPr>
          <w:p w:rsidR="00540F75" w:rsidRPr="00AC775E" w:rsidRDefault="00540F75" w:rsidP="00E9208C">
            <w:pPr>
              <w:spacing w:before="40" w:after="40"/>
              <w:jc w:val="center"/>
              <w:rPr>
                <w:rFonts w:ascii="Arial Narrow" w:hAnsi="Arial Narrow" w:cstheme="minorHAnsi"/>
                <w:sz w:val="24"/>
                <w:szCs w:val="26"/>
              </w:rPr>
            </w:pPr>
            <w:r>
              <w:rPr>
                <w:rFonts w:ascii="Arial Narrow" w:hAnsi="Arial Narrow"/>
                <w:b/>
                <w:sz w:val="24"/>
                <w:szCs w:val="26"/>
              </w:rPr>
              <w:t>FY 2021</w:t>
            </w:r>
          </w:p>
        </w:tc>
      </w:tr>
      <w:tr w:rsidR="00540F75" w:rsidRPr="00AC775E" w:rsidTr="00E9208C">
        <w:tc>
          <w:tcPr>
            <w:tcW w:w="2736" w:type="dxa"/>
            <w:tcBorders>
              <w:bottom w:val="single" w:sz="2" w:space="0" w:color="D9D9D9" w:themeColor="background1" w:themeShade="D9"/>
            </w:tcBorders>
            <w:vAlign w:val="center"/>
          </w:tcPr>
          <w:p w:rsidR="00540F75" w:rsidRPr="00AC775E" w:rsidRDefault="00540F75" w:rsidP="00E9208C">
            <w:pPr>
              <w:spacing w:before="40" w:after="40"/>
              <w:rPr>
                <w:rFonts w:ascii="Arial Narrow" w:hAnsi="Arial Narrow" w:cstheme="minorHAnsi"/>
              </w:rPr>
            </w:pPr>
            <w:r w:rsidRPr="00AC775E">
              <w:rPr>
                <w:rFonts w:ascii="Arial Narrow" w:hAnsi="Arial Narrow"/>
              </w:rPr>
              <w:t xml:space="preserve">Fund </w:t>
            </w:r>
            <w:r>
              <w:rPr>
                <w:rFonts w:ascii="Arial Narrow" w:hAnsi="Arial Narrow"/>
              </w:rPr>
              <w:t>001-1</w:t>
            </w:r>
          </w:p>
        </w:tc>
        <w:tc>
          <w:tcPr>
            <w:tcW w:w="1558" w:type="dxa"/>
            <w:tcBorders>
              <w:bottom w:val="single" w:sz="2" w:space="0" w:color="D9D9D9" w:themeColor="background1" w:themeShade="D9"/>
            </w:tcBorders>
            <w:shd w:val="clear" w:color="auto" w:fill="A6A6A6" w:themeFill="background1" w:themeFillShade="A6"/>
            <w:vAlign w:val="center"/>
          </w:tcPr>
          <w:p w:rsidR="00540F75" w:rsidRPr="00AC775E" w:rsidRDefault="00540F75" w:rsidP="00E9208C">
            <w:pPr>
              <w:spacing w:before="40" w:after="40"/>
              <w:jc w:val="center"/>
              <w:rPr>
                <w:rFonts w:ascii="Arial Narrow" w:hAnsi="Arial Narrow" w:cstheme="minorHAnsi"/>
              </w:rPr>
            </w:pPr>
          </w:p>
        </w:tc>
        <w:tc>
          <w:tcPr>
            <w:tcW w:w="1558" w:type="dxa"/>
            <w:tcBorders>
              <w:bottom w:val="single" w:sz="2" w:space="0" w:color="D9D9D9" w:themeColor="background1" w:themeShade="D9"/>
            </w:tcBorders>
            <w:vAlign w:val="center"/>
          </w:tcPr>
          <w:p w:rsidR="00540F75" w:rsidRPr="00AC775E" w:rsidRDefault="00540F75" w:rsidP="00E9208C">
            <w:pPr>
              <w:spacing w:before="40" w:after="40"/>
              <w:jc w:val="right"/>
              <w:rPr>
                <w:rFonts w:ascii="Arial Narrow" w:hAnsi="Arial Narrow" w:cstheme="minorHAnsi"/>
              </w:rPr>
            </w:pPr>
            <w:r>
              <w:rPr>
                <w:rFonts w:ascii="Arial Narrow" w:hAnsi="Arial Narrow"/>
              </w:rPr>
              <w:t>3,770,000</w:t>
            </w:r>
          </w:p>
        </w:tc>
        <w:tc>
          <w:tcPr>
            <w:tcW w:w="1584" w:type="dxa"/>
            <w:tcBorders>
              <w:bottom w:val="single" w:sz="2" w:space="0" w:color="D9D9D9" w:themeColor="background1" w:themeShade="D9"/>
            </w:tcBorders>
            <w:vAlign w:val="center"/>
          </w:tcPr>
          <w:p w:rsidR="00540F75" w:rsidRPr="00AC775E" w:rsidRDefault="00540F75" w:rsidP="00E9208C">
            <w:pPr>
              <w:spacing w:before="40" w:after="40"/>
              <w:jc w:val="right"/>
              <w:rPr>
                <w:rFonts w:ascii="Arial Narrow" w:hAnsi="Arial Narrow" w:cstheme="minorHAnsi"/>
              </w:rPr>
            </w:pPr>
            <w:r>
              <w:rPr>
                <w:rFonts w:ascii="Arial Narrow" w:hAnsi="Arial Narrow"/>
              </w:rPr>
              <w:t>3,770,000</w:t>
            </w:r>
          </w:p>
        </w:tc>
        <w:tc>
          <w:tcPr>
            <w:tcW w:w="1559" w:type="dxa"/>
            <w:tcBorders>
              <w:bottom w:val="single" w:sz="2" w:space="0" w:color="D9D9D9" w:themeColor="background1" w:themeShade="D9"/>
            </w:tcBorders>
            <w:vAlign w:val="center"/>
          </w:tcPr>
          <w:p w:rsidR="00540F75" w:rsidRPr="00AC775E" w:rsidRDefault="00540F75" w:rsidP="00E9208C">
            <w:pPr>
              <w:spacing w:before="40" w:after="40"/>
              <w:jc w:val="right"/>
              <w:rPr>
                <w:rFonts w:ascii="Arial Narrow" w:hAnsi="Arial Narrow" w:cstheme="minorHAnsi"/>
              </w:rPr>
            </w:pPr>
            <w:r>
              <w:rPr>
                <w:rFonts w:ascii="Arial Narrow" w:hAnsi="Arial Narrow"/>
              </w:rPr>
              <w:t>3,770,000</w:t>
            </w:r>
          </w:p>
        </w:tc>
      </w:tr>
    </w:tbl>
    <w:p w:rsidR="00540F75" w:rsidRDefault="00540F75" w:rsidP="00540F75">
      <w:pPr>
        <w:spacing w:after="0" w:line="240" w:lineRule="auto"/>
        <w:rPr>
          <w:b/>
          <w:sz w:val="24"/>
          <w:szCs w:val="24"/>
        </w:rPr>
      </w:pPr>
    </w:p>
    <w:p w:rsidR="00540F75" w:rsidRPr="00F3641A" w:rsidRDefault="00540F75" w:rsidP="00540F75">
      <w:pPr>
        <w:spacing w:after="0" w:line="240" w:lineRule="auto"/>
        <w:rPr>
          <w:rFonts w:ascii="Gill Sans MT" w:hAnsi="Gill Sans MT"/>
        </w:rPr>
      </w:pPr>
      <w:r w:rsidRPr="00F3641A">
        <w:rPr>
          <w:rFonts w:ascii="Gill Sans MT" w:hAnsi="Gill Sans MT"/>
        </w:rPr>
        <w:t xml:space="preserve">A highly qualified, committed and motivated faculty is critical to student learning, retention and achievement. Most Washington community and technical colleges face two significant challenges – over reliance on part-time faculty and funding faculty increments that promote professional development.  The State Board for Community and Technical Colleges (SBCTC) requests $3.8 million in state funding for Fiscal Year 2019 for our faculty.  Due to the varying needs of each college, SBCTC requests the flexibility to allow colleges to spend funds to transition part-time positions to full-time positions, pay faculty increments or some combination of the two.  </w:t>
      </w:r>
    </w:p>
    <w:p w:rsidR="00540F75" w:rsidRDefault="00540F75" w:rsidP="00540F75">
      <w:pPr>
        <w:spacing w:after="0" w:line="240" w:lineRule="auto"/>
        <w:rPr>
          <w:b/>
          <w:sz w:val="24"/>
          <w:szCs w:val="24"/>
        </w:rPr>
      </w:pPr>
    </w:p>
    <w:p w:rsidR="00540F75" w:rsidRDefault="00540F75" w:rsidP="00540F75">
      <w:pPr>
        <w:spacing w:after="0" w:line="240" w:lineRule="auto"/>
        <w:rPr>
          <w:b/>
          <w:sz w:val="24"/>
          <w:szCs w:val="24"/>
        </w:rPr>
      </w:pPr>
      <w:r>
        <w:rPr>
          <w:b/>
          <w:sz w:val="24"/>
          <w:szCs w:val="24"/>
        </w:rPr>
        <w:t>PL</w:t>
      </w:r>
      <w:r w:rsidRPr="00435A6A">
        <w:rPr>
          <w:b/>
          <w:sz w:val="24"/>
          <w:szCs w:val="24"/>
        </w:rPr>
        <w:t>-A</w:t>
      </w:r>
      <w:r>
        <w:rPr>
          <w:b/>
          <w:sz w:val="24"/>
          <w:szCs w:val="24"/>
        </w:rPr>
        <w:t>5</w:t>
      </w:r>
      <w:r w:rsidRPr="00435A6A">
        <w:rPr>
          <w:b/>
          <w:sz w:val="24"/>
          <w:szCs w:val="24"/>
        </w:rPr>
        <w:t xml:space="preserve"> </w:t>
      </w:r>
      <w:r>
        <w:rPr>
          <w:b/>
          <w:sz w:val="24"/>
          <w:szCs w:val="24"/>
        </w:rPr>
        <w:t>Student Success in Guided Pathways</w:t>
      </w:r>
    </w:p>
    <w:p w:rsidR="00540F75" w:rsidRDefault="00540F75" w:rsidP="00540F75">
      <w:pPr>
        <w:spacing w:after="0" w:line="240" w:lineRule="auto"/>
        <w:rPr>
          <w:b/>
          <w:sz w:val="24"/>
          <w:szCs w:val="24"/>
        </w:rPr>
      </w:pP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736"/>
        <w:gridCol w:w="1558"/>
        <w:gridCol w:w="1558"/>
        <w:gridCol w:w="1584"/>
        <w:gridCol w:w="1559"/>
      </w:tblGrid>
      <w:tr w:rsidR="00540F75" w:rsidRPr="00AC775E" w:rsidTr="00E9208C">
        <w:trPr>
          <w:trHeight w:val="598"/>
        </w:trPr>
        <w:tc>
          <w:tcPr>
            <w:tcW w:w="2736" w:type="dxa"/>
            <w:shd w:val="clear" w:color="auto" w:fill="DAEEF3" w:themeFill="accent5" w:themeFillTint="33"/>
            <w:vAlign w:val="center"/>
          </w:tcPr>
          <w:p w:rsidR="00540F75" w:rsidRPr="00AC775E" w:rsidRDefault="00540F75" w:rsidP="00E9208C">
            <w:pPr>
              <w:spacing w:before="40" w:after="40"/>
              <w:rPr>
                <w:rFonts w:ascii="Arial Narrow" w:hAnsi="Arial Narrow" w:cstheme="minorHAnsi"/>
                <w:sz w:val="24"/>
                <w:szCs w:val="26"/>
              </w:rPr>
            </w:pPr>
            <w:r w:rsidRPr="00AC775E">
              <w:rPr>
                <w:rFonts w:ascii="Arial Narrow" w:hAnsi="Arial Narrow"/>
                <w:b/>
                <w:sz w:val="24"/>
                <w:szCs w:val="26"/>
              </w:rPr>
              <w:t>Operating Expenditures</w:t>
            </w:r>
          </w:p>
        </w:tc>
        <w:tc>
          <w:tcPr>
            <w:tcW w:w="1558" w:type="dxa"/>
            <w:tcBorders>
              <w:bottom w:val="single" w:sz="2" w:space="0" w:color="D9D9D9" w:themeColor="background1" w:themeShade="D9"/>
            </w:tcBorders>
            <w:shd w:val="clear" w:color="auto" w:fill="DAEEF3" w:themeFill="accent5" w:themeFillTint="33"/>
            <w:vAlign w:val="center"/>
          </w:tcPr>
          <w:p w:rsidR="00540F75" w:rsidRPr="00AC775E" w:rsidRDefault="00540F75" w:rsidP="00E9208C">
            <w:pPr>
              <w:spacing w:before="40" w:after="40"/>
              <w:jc w:val="center"/>
              <w:rPr>
                <w:rFonts w:ascii="Arial Narrow" w:hAnsi="Arial Narrow" w:cstheme="minorHAnsi"/>
                <w:sz w:val="24"/>
                <w:szCs w:val="26"/>
              </w:rPr>
            </w:pPr>
            <w:r>
              <w:rPr>
                <w:rFonts w:ascii="Arial Narrow" w:hAnsi="Arial Narrow"/>
                <w:b/>
                <w:sz w:val="24"/>
                <w:szCs w:val="26"/>
              </w:rPr>
              <w:t>FY 2018</w:t>
            </w:r>
          </w:p>
        </w:tc>
        <w:tc>
          <w:tcPr>
            <w:tcW w:w="1558" w:type="dxa"/>
            <w:shd w:val="clear" w:color="auto" w:fill="DAEEF3" w:themeFill="accent5" w:themeFillTint="33"/>
            <w:vAlign w:val="center"/>
          </w:tcPr>
          <w:p w:rsidR="00540F75" w:rsidRPr="00AC775E" w:rsidRDefault="00540F75" w:rsidP="00E9208C">
            <w:pPr>
              <w:spacing w:before="40" w:after="40"/>
              <w:jc w:val="center"/>
              <w:rPr>
                <w:rFonts w:ascii="Arial Narrow" w:hAnsi="Arial Narrow" w:cstheme="minorHAnsi"/>
                <w:sz w:val="24"/>
                <w:szCs w:val="26"/>
              </w:rPr>
            </w:pPr>
            <w:r>
              <w:rPr>
                <w:rFonts w:ascii="Arial Narrow" w:hAnsi="Arial Narrow"/>
                <w:b/>
                <w:sz w:val="24"/>
                <w:szCs w:val="26"/>
              </w:rPr>
              <w:t>FY 2019</w:t>
            </w:r>
          </w:p>
        </w:tc>
        <w:tc>
          <w:tcPr>
            <w:tcW w:w="1584" w:type="dxa"/>
            <w:shd w:val="clear" w:color="auto" w:fill="DAEEF3" w:themeFill="accent5" w:themeFillTint="33"/>
            <w:vAlign w:val="center"/>
          </w:tcPr>
          <w:p w:rsidR="00540F75" w:rsidRPr="00AC775E" w:rsidRDefault="00540F75" w:rsidP="00E9208C">
            <w:pPr>
              <w:spacing w:before="40" w:after="40"/>
              <w:jc w:val="center"/>
              <w:rPr>
                <w:rFonts w:ascii="Arial Narrow" w:hAnsi="Arial Narrow" w:cstheme="minorHAnsi"/>
                <w:sz w:val="24"/>
                <w:szCs w:val="26"/>
              </w:rPr>
            </w:pPr>
            <w:r>
              <w:rPr>
                <w:rFonts w:ascii="Arial Narrow" w:hAnsi="Arial Narrow"/>
                <w:b/>
                <w:sz w:val="24"/>
                <w:szCs w:val="26"/>
              </w:rPr>
              <w:t>FY 2020</w:t>
            </w:r>
          </w:p>
        </w:tc>
        <w:tc>
          <w:tcPr>
            <w:tcW w:w="1559" w:type="dxa"/>
            <w:shd w:val="clear" w:color="auto" w:fill="DAEEF3" w:themeFill="accent5" w:themeFillTint="33"/>
            <w:vAlign w:val="center"/>
          </w:tcPr>
          <w:p w:rsidR="00540F75" w:rsidRPr="00AC775E" w:rsidRDefault="00540F75" w:rsidP="00E9208C">
            <w:pPr>
              <w:spacing w:before="40" w:after="40"/>
              <w:jc w:val="center"/>
              <w:rPr>
                <w:rFonts w:ascii="Arial Narrow" w:hAnsi="Arial Narrow" w:cstheme="minorHAnsi"/>
                <w:sz w:val="24"/>
                <w:szCs w:val="26"/>
              </w:rPr>
            </w:pPr>
            <w:r>
              <w:rPr>
                <w:rFonts w:ascii="Arial Narrow" w:hAnsi="Arial Narrow"/>
                <w:b/>
                <w:sz w:val="24"/>
                <w:szCs w:val="26"/>
              </w:rPr>
              <w:t>FY 2021</w:t>
            </w:r>
          </w:p>
        </w:tc>
      </w:tr>
      <w:tr w:rsidR="00540F75" w:rsidRPr="00AC775E" w:rsidTr="00E9208C">
        <w:tc>
          <w:tcPr>
            <w:tcW w:w="2736" w:type="dxa"/>
            <w:tcBorders>
              <w:bottom w:val="single" w:sz="2" w:space="0" w:color="D9D9D9" w:themeColor="background1" w:themeShade="D9"/>
            </w:tcBorders>
            <w:vAlign w:val="center"/>
          </w:tcPr>
          <w:p w:rsidR="00540F75" w:rsidRPr="00AC775E" w:rsidRDefault="00540F75" w:rsidP="00E9208C">
            <w:pPr>
              <w:spacing w:before="40" w:after="40"/>
              <w:rPr>
                <w:rFonts w:ascii="Arial Narrow" w:hAnsi="Arial Narrow" w:cstheme="minorHAnsi"/>
              </w:rPr>
            </w:pPr>
            <w:r>
              <w:rPr>
                <w:rFonts w:ascii="Arial Narrow" w:hAnsi="Arial Narrow"/>
              </w:rPr>
              <w:t>General Fund-State 001-1</w:t>
            </w:r>
          </w:p>
        </w:tc>
        <w:tc>
          <w:tcPr>
            <w:tcW w:w="1558" w:type="dxa"/>
            <w:tcBorders>
              <w:bottom w:val="single" w:sz="2" w:space="0" w:color="D9D9D9" w:themeColor="background1" w:themeShade="D9"/>
            </w:tcBorders>
            <w:shd w:val="clear" w:color="auto" w:fill="A6A6A6" w:themeFill="background1" w:themeFillShade="A6"/>
            <w:vAlign w:val="center"/>
          </w:tcPr>
          <w:p w:rsidR="00540F75" w:rsidRPr="00AC775E" w:rsidRDefault="00540F75" w:rsidP="00E9208C">
            <w:pPr>
              <w:spacing w:before="40" w:after="40"/>
              <w:jc w:val="center"/>
              <w:rPr>
                <w:rFonts w:ascii="Arial Narrow" w:hAnsi="Arial Narrow" w:cstheme="minorHAnsi"/>
              </w:rPr>
            </w:pPr>
          </w:p>
        </w:tc>
        <w:tc>
          <w:tcPr>
            <w:tcW w:w="1558" w:type="dxa"/>
            <w:tcBorders>
              <w:bottom w:val="single" w:sz="2" w:space="0" w:color="D9D9D9" w:themeColor="background1" w:themeShade="D9"/>
            </w:tcBorders>
            <w:vAlign w:val="center"/>
          </w:tcPr>
          <w:p w:rsidR="00540F75" w:rsidRPr="00AC775E" w:rsidRDefault="00540F75" w:rsidP="00E9208C">
            <w:pPr>
              <w:spacing w:before="40" w:after="40"/>
              <w:jc w:val="center"/>
              <w:rPr>
                <w:rFonts w:ascii="Arial Narrow" w:hAnsi="Arial Narrow" w:cstheme="minorHAnsi"/>
              </w:rPr>
            </w:pPr>
            <w:r>
              <w:rPr>
                <w:rFonts w:ascii="Arial Narrow" w:hAnsi="Arial Narrow"/>
              </w:rPr>
              <w:t>2,200,000</w:t>
            </w:r>
          </w:p>
        </w:tc>
        <w:tc>
          <w:tcPr>
            <w:tcW w:w="1584" w:type="dxa"/>
            <w:tcBorders>
              <w:bottom w:val="single" w:sz="2" w:space="0" w:color="D9D9D9" w:themeColor="background1" w:themeShade="D9"/>
            </w:tcBorders>
            <w:vAlign w:val="center"/>
          </w:tcPr>
          <w:p w:rsidR="00540F75" w:rsidRPr="00AC775E" w:rsidRDefault="00540F75" w:rsidP="00E9208C">
            <w:pPr>
              <w:spacing w:before="40" w:after="40"/>
              <w:jc w:val="center"/>
              <w:rPr>
                <w:rFonts w:ascii="Arial Narrow" w:hAnsi="Arial Narrow" w:cstheme="minorHAnsi"/>
              </w:rPr>
            </w:pPr>
          </w:p>
        </w:tc>
        <w:tc>
          <w:tcPr>
            <w:tcW w:w="1559" w:type="dxa"/>
            <w:tcBorders>
              <w:bottom w:val="single" w:sz="2" w:space="0" w:color="D9D9D9" w:themeColor="background1" w:themeShade="D9"/>
            </w:tcBorders>
            <w:vAlign w:val="center"/>
          </w:tcPr>
          <w:p w:rsidR="00540F75" w:rsidRPr="00AC775E" w:rsidRDefault="00540F75" w:rsidP="00E9208C">
            <w:pPr>
              <w:spacing w:before="40" w:after="40"/>
              <w:jc w:val="center"/>
              <w:rPr>
                <w:rFonts w:ascii="Arial Narrow" w:hAnsi="Arial Narrow" w:cstheme="minorHAnsi"/>
              </w:rPr>
            </w:pPr>
          </w:p>
        </w:tc>
      </w:tr>
    </w:tbl>
    <w:p w:rsidR="00540F75" w:rsidRDefault="00540F75" w:rsidP="00540F75">
      <w:pPr>
        <w:spacing w:after="0" w:line="240" w:lineRule="auto"/>
        <w:rPr>
          <w:b/>
          <w:sz w:val="24"/>
          <w:szCs w:val="24"/>
        </w:rPr>
      </w:pPr>
    </w:p>
    <w:p w:rsidR="000959F9" w:rsidRPr="00F3641A" w:rsidRDefault="000959F9" w:rsidP="000959F9">
      <w:pPr>
        <w:autoSpaceDE w:val="0"/>
        <w:autoSpaceDN w:val="0"/>
        <w:adjustRightInd w:val="0"/>
        <w:spacing w:after="0" w:line="240" w:lineRule="auto"/>
        <w:rPr>
          <w:rFonts w:ascii="Gill Sans MT" w:hAnsi="Gill Sans MT"/>
        </w:rPr>
      </w:pPr>
      <w:r w:rsidRPr="00F3641A">
        <w:rPr>
          <w:rFonts w:ascii="Gill Sans MT" w:hAnsi="Gill Sans MT"/>
          <w:color w:val="000000"/>
        </w:rPr>
        <w:t>The Guided Pathways model is a set of redesign principles that have proven to substantially increase student retention and degree completion.  Under this model colleges r</w:t>
      </w:r>
      <w:r w:rsidRPr="00F3641A">
        <w:rPr>
          <w:rFonts w:ascii="Gill Sans MT" w:hAnsi="Gill Sans MT" w:cs="Calibri"/>
        </w:rPr>
        <w:t xml:space="preserve">educe and simplify the number of choices a student must make from college entrance to program selection to degree completion.  Twelve of the 34 colleges in our system are engaged in various stages of implementation. </w:t>
      </w:r>
      <w:r w:rsidRPr="00F3641A">
        <w:rPr>
          <w:rFonts w:ascii="Gill Sans MT" w:hAnsi="Gill Sans MT"/>
        </w:rPr>
        <w:t xml:space="preserve">The State Board for Community and Technical Colleges requests $2.2 million ($100,000 to 22 colleges) to begin planning for the Guided Pathway system redesign.  These funds would provide each of the remaining 22 colleges with one FTE equivalent of professional staff resources to coordinate the development of a comprehensive system redesign plan.  These funds are one-time to support the initial planning efforts.  </w:t>
      </w:r>
    </w:p>
    <w:p w:rsidR="000959F9" w:rsidRDefault="000959F9" w:rsidP="00540F75">
      <w:pPr>
        <w:spacing w:after="0" w:line="240" w:lineRule="auto"/>
        <w:rPr>
          <w:b/>
          <w:sz w:val="24"/>
          <w:szCs w:val="24"/>
        </w:rPr>
      </w:pPr>
    </w:p>
    <w:p w:rsidR="00540F75" w:rsidRPr="00435A6A" w:rsidRDefault="00540F75" w:rsidP="00435A6A">
      <w:pPr>
        <w:spacing w:after="0" w:line="240" w:lineRule="auto"/>
        <w:rPr>
          <w:sz w:val="24"/>
          <w:szCs w:val="24"/>
        </w:rPr>
      </w:pPr>
    </w:p>
    <w:sectPr w:rsidR="00540F75" w:rsidRPr="00435A6A" w:rsidSect="00491EB8">
      <w:pgSz w:w="12240" w:h="15840"/>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41A" w:rsidRDefault="00F3641A" w:rsidP="00F3641A">
      <w:pPr>
        <w:spacing w:after="0" w:line="240" w:lineRule="auto"/>
      </w:pPr>
      <w:r>
        <w:separator/>
      </w:r>
    </w:p>
  </w:endnote>
  <w:endnote w:type="continuationSeparator" w:id="0">
    <w:p w:rsidR="00F3641A" w:rsidRDefault="00F3641A" w:rsidP="00F36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41A" w:rsidRDefault="00F3641A" w:rsidP="00F3641A">
      <w:pPr>
        <w:spacing w:after="0" w:line="240" w:lineRule="auto"/>
      </w:pPr>
      <w:r>
        <w:separator/>
      </w:r>
    </w:p>
  </w:footnote>
  <w:footnote w:type="continuationSeparator" w:id="0">
    <w:p w:rsidR="00F3641A" w:rsidRDefault="00F3641A" w:rsidP="00F364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6A"/>
    <w:rsid w:val="000959F9"/>
    <w:rsid w:val="003534B5"/>
    <w:rsid w:val="003C4880"/>
    <w:rsid w:val="00435A6A"/>
    <w:rsid w:val="00491EB8"/>
    <w:rsid w:val="00540F75"/>
    <w:rsid w:val="00966C46"/>
    <w:rsid w:val="00F36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0C34E4"/>
  <w15:docId w15:val="{CBD1D83E-3540-4DAF-9E9F-F9C8B1BC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6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41A"/>
    <w:rPr>
      <w:rFonts w:ascii="Tahoma" w:hAnsi="Tahoma" w:cs="Tahoma"/>
      <w:sz w:val="16"/>
      <w:szCs w:val="16"/>
    </w:rPr>
  </w:style>
  <w:style w:type="paragraph" w:styleId="Header">
    <w:name w:val="header"/>
    <w:basedOn w:val="Normal"/>
    <w:link w:val="HeaderChar"/>
    <w:uiPriority w:val="99"/>
    <w:unhideWhenUsed/>
    <w:rsid w:val="00F36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41A"/>
  </w:style>
  <w:style w:type="paragraph" w:styleId="Footer">
    <w:name w:val="footer"/>
    <w:basedOn w:val="Normal"/>
    <w:link w:val="FooterChar"/>
    <w:uiPriority w:val="99"/>
    <w:unhideWhenUsed/>
    <w:rsid w:val="00F36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EB02C-B97D-4213-B827-148BC3CA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Myhre</dc:creator>
  <cp:lastModifiedBy>Cherie Berthon</cp:lastModifiedBy>
  <cp:revision>2</cp:revision>
  <cp:lastPrinted>2017-10-10T21:05:00Z</cp:lastPrinted>
  <dcterms:created xsi:type="dcterms:W3CDTF">2017-10-10T23:08:00Z</dcterms:created>
  <dcterms:modified xsi:type="dcterms:W3CDTF">2017-10-10T23:08:00Z</dcterms:modified>
</cp:coreProperties>
</file>