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822AE" w14:textId="33D486C4" w:rsidR="00F6635D" w:rsidRPr="00F47B42" w:rsidRDefault="00F6635D" w:rsidP="00F47B42">
      <w:pPr>
        <w:pStyle w:val="Heading3"/>
        <w:rPr>
          <w:sz w:val="36"/>
          <w:szCs w:val="36"/>
        </w:rPr>
      </w:pPr>
      <w:r w:rsidRPr="00F47B42">
        <w:rPr>
          <w:sz w:val="36"/>
          <w:szCs w:val="36"/>
        </w:rPr>
        <w:t>Climate Solutions Allocation Application 2025</w:t>
      </w:r>
    </w:p>
    <w:p w14:paraId="6902CC57" w14:textId="35549D02" w:rsidR="00F6635D" w:rsidRPr="00F47B42" w:rsidRDefault="00F6635D" w:rsidP="00F47B42">
      <w:pPr>
        <w:pStyle w:val="Heading3"/>
        <w:rPr>
          <w:rFonts w:eastAsia="Times New Roman"/>
        </w:rPr>
      </w:pPr>
      <w:r w:rsidRPr="00F47B42">
        <w:rPr>
          <w:rFonts w:eastAsia="Times New Roman"/>
        </w:rPr>
        <w:t xml:space="preserve">Details: </w:t>
      </w:r>
    </w:p>
    <w:p w14:paraId="2B6627E8" w14:textId="77777777" w:rsidR="00F6635D" w:rsidRDefault="00F6635D" w:rsidP="00F47B42">
      <w:pPr>
        <w:pStyle w:val="ListParagraph"/>
        <w:numPr>
          <w:ilvl w:val="0"/>
          <w:numId w:val="7"/>
        </w:numPr>
      </w:pPr>
      <w:r>
        <w:t>Awards will range from $20,000-$40,000 per college.</w:t>
      </w:r>
    </w:p>
    <w:p w14:paraId="0915C441" w14:textId="797970E9" w:rsidR="00F6635D" w:rsidRDefault="00F6635D" w:rsidP="00F47B42">
      <w:pPr>
        <w:pStyle w:val="ListParagraph"/>
        <w:numPr>
          <w:ilvl w:val="0"/>
          <w:numId w:val="7"/>
        </w:numPr>
      </w:pPr>
      <w:r>
        <w:t xml:space="preserve">Deadline to Apply: December </w:t>
      </w:r>
      <w:r w:rsidR="00CA7C6B">
        <w:t>16, 2024, End of Day</w:t>
      </w:r>
    </w:p>
    <w:p w14:paraId="2316A458" w14:textId="77777777" w:rsidR="00F6635D" w:rsidRDefault="00F6635D" w:rsidP="00F47B42">
      <w:pPr>
        <w:pStyle w:val="ListParagraph"/>
        <w:numPr>
          <w:ilvl w:val="0"/>
          <w:numId w:val="7"/>
        </w:numPr>
      </w:pPr>
      <w:r>
        <w:t>Awards Announced: No later than Jan. 6</w:t>
      </w:r>
      <w:r w:rsidRPr="00F47B42">
        <w:rPr>
          <w:vertAlign w:val="superscript"/>
        </w:rPr>
        <w:t>th</w:t>
      </w:r>
      <w:r>
        <w:t xml:space="preserve"> if not before. </w:t>
      </w:r>
    </w:p>
    <w:p w14:paraId="36AB7652" w14:textId="77777777" w:rsidR="00F6635D" w:rsidRDefault="00F6635D" w:rsidP="00F47B42">
      <w:pPr>
        <w:pStyle w:val="ListParagraph"/>
        <w:numPr>
          <w:ilvl w:val="0"/>
          <w:numId w:val="7"/>
        </w:numPr>
      </w:pPr>
      <w:r>
        <w:t>Funds Available:  January 2025.</w:t>
      </w:r>
    </w:p>
    <w:p w14:paraId="6AE70406" w14:textId="77777777" w:rsidR="00F6635D" w:rsidRDefault="00F6635D" w:rsidP="00F47B42">
      <w:pPr>
        <w:pStyle w:val="ListParagraph"/>
        <w:numPr>
          <w:ilvl w:val="0"/>
          <w:numId w:val="7"/>
        </w:numPr>
      </w:pPr>
      <w:r>
        <w:t>All work must be completed between January 2025 and June 30, 2026. </w:t>
      </w:r>
    </w:p>
    <w:p w14:paraId="3B924B06" w14:textId="77777777" w:rsidR="00F6635D" w:rsidRDefault="00F6635D" w:rsidP="00F47B42">
      <w:pPr>
        <w:pStyle w:val="ListParagraph"/>
        <w:numPr>
          <w:ilvl w:val="0"/>
          <w:numId w:val="7"/>
        </w:numPr>
      </w:pPr>
      <w:r>
        <w:t>One application per college.</w:t>
      </w:r>
    </w:p>
    <w:p w14:paraId="7654EDEF" w14:textId="77777777" w:rsidR="00F6635D" w:rsidRDefault="00F6635D" w:rsidP="00F47B42">
      <w:pPr>
        <w:pStyle w:val="Heading3"/>
        <w:rPr>
          <w:rFonts w:eastAsia="Times New Roman"/>
        </w:rPr>
      </w:pPr>
      <w:r>
        <w:rPr>
          <w:rFonts w:eastAsia="Times New Roman"/>
        </w:rPr>
        <w:t>Who May Apply</w:t>
      </w:r>
    </w:p>
    <w:p w14:paraId="3338D1FA" w14:textId="77777777"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Public community and technical colleges, as defined under RCW 28B.50.030 may apply for funding. Colleges may submit only one application per institution. Professional technical, transfer, and continuing education/non-credit faculty are eligible for this funding to support program improvements in credit and non-credit, transfer, and professional technical pathways.</w:t>
      </w:r>
    </w:p>
    <w:p w14:paraId="25DC29E1" w14:textId="77777777" w:rsidR="00F6635D" w:rsidRDefault="00F6635D" w:rsidP="00F47B42">
      <w:pPr>
        <w:pStyle w:val="Heading3"/>
        <w:rPr>
          <w:rFonts w:eastAsia="Times New Roman"/>
        </w:rPr>
      </w:pPr>
      <w:r>
        <w:rPr>
          <w:rFonts w:eastAsia="Times New Roman"/>
        </w:rPr>
        <w:t>Use of Funding</w:t>
      </w:r>
    </w:p>
    <w:p w14:paraId="0A3F7036" w14:textId="77777777"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Funding is to be used to support the following activities* in service of updating the curriculum and training to include climate justice, climate solutions, green/sustainability skills, and green technologies relevant to a climate-ready workforce.   </w:t>
      </w:r>
    </w:p>
    <w:p w14:paraId="3EC0886E"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Curriculum development or training stipends for both adjunct and tenure track/tenured faculty</w:t>
      </w:r>
    </w:p>
    <w:p w14:paraId="7B3EC25E"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For convening local employers and industry professionals to support program improvement; new curriculum development or skills integrations, or expansion of advisory boards to include employers engaging in climate solutions and green economy sectors.</w:t>
      </w:r>
    </w:p>
    <w:p w14:paraId="31B38B42"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Partnership building and curriculum development stipends to support career-connected learning, project-based learning, service learning, undergraduate research, or other high-impact curricular changes that support learning in climate solutions, green skills, or climate justice.</w:t>
      </w:r>
    </w:p>
    <w:p w14:paraId="4FF2273C"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Equipment and/or supplies to improve instruction or incorporate new technologies, safety training, research projects, field sites, or community engagement.</w:t>
      </w:r>
    </w:p>
    <w:p w14:paraId="17D814D9"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Stipends to redesign existing programs to be more inclusive, quality career-connected pathways that amplify emerging green skills and experience for all people, from incumbent workers to new learners.</w:t>
      </w:r>
    </w:p>
    <w:p w14:paraId="57A47976"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Stipends to facilitate professional development or lead cross-campus collaborative curriculum development in climate justice.</w:t>
      </w:r>
    </w:p>
    <w:p w14:paraId="5BD47949"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Multi-college curriculum collaborations and convenings for common course/curriculum development.  </w:t>
      </w:r>
    </w:p>
    <w:p w14:paraId="013DC20F" w14:textId="77777777"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*[This list is illustrative, not exhaustive, and colleges are welcome to use these funds in other ways that advance this work in their unique context.]</w:t>
      </w:r>
    </w:p>
    <w:p w14:paraId="394A7970" w14:textId="77777777" w:rsidR="00F6635D" w:rsidRDefault="00F6635D" w:rsidP="00F47B42">
      <w:pPr>
        <w:pStyle w:val="Heading3"/>
        <w:rPr>
          <w:rFonts w:eastAsia="Times New Roman"/>
        </w:rPr>
      </w:pPr>
      <w:r>
        <w:rPr>
          <w:rFonts w:eastAsia="Times New Roman"/>
        </w:rPr>
        <w:lastRenderedPageBreak/>
        <w:t>How to Apply:</w:t>
      </w:r>
    </w:p>
    <w:p w14:paraId="79219C2C" w14:textId="77777777"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Circulate this opportunity and share it with your faculty to garner interest and proposals. Each college is allowed to submit ONE application for the entire college. In the attached Word document, colleges will describe the key elements of the college’s plan to use funds. Colleges will need to designate an administrator for this grant, responsible for submitting the application, coordinating with faculty recipients and the business office, and submitting the final report. Colleges will need to sign the assurances document and submit it with the application.</w:t>
      </w:r>
    </w:p>
    <w:p w14:paraId="19712B2A" w14:textId="77777777" w:rsidR="00F6635D" w:rsidRPr="009348BE" w:rsidRDefault="00F6635D" w:rsidP="00F6635D">
      <w:pPr>
        <w:rPr>
          <w:rFonts w:ascii="Aptos" w:eastAsia="Times New Roman" w:hAnsi="Aptos" w:cs="Aptos"/>
          <w:color w:val="000000"/>
          <w:kern w:val="0"/>
          <w:highlight w:val="yellow"/>
          <w14:ligatures w14:val="none"/>
        </w:rPr>
      </w:pPr>
      <w:r w:rsidRPr="009348BE">
        <w:rPr>
          <w:rFonts w:ascii="Aptos" w:eastAsia="Times New Roman" w:hAnsi="Aptos" w:cs="Aptos"/>
          <w:color w:val="000000"/>
          <w:kern w:val="0"/>
          <w:highlight w:val="yellow"/>
          <w14:ligatures w14:val="none"/>
        </w:rPr>
        <w:t xml:space="preserve">Email the following to </w:t>
      </w:r>
      <w:hyperlink r:id="rId8" w:history="1">
        <w:r w:rsidRPr="009348BE">
          <w:rPr>
            <w:rStyle w:val="Hyperlink"/>
            <w:rFonts w:ascii="Aptos" w:eastAsia="Times New Roman" w:hAnsi="Aptos" w:cs="Aptos"/>
            <w:kern w:val="0"/>
            <w:highlight w:val="yellow"/>
            <w14:ligatures w14:val="none"/>
          </w:rPr>
          <w:t>Ishaver@sbctc.edu</w:t>
        </w:r>
      </w:hyperlink>
      <w:r w:rsidRPr="009348BE">
        <w:rPr>
          <w:rFonts w:ascii="Aptos" w:eastAsia="Times New Roman" w:hAnsi="Aptos" w:cs="Aptos"/>
          <w:color w:val="000000"/>
          <w:kern w:val="0"/>
          <w:highlight w:val="yellow"/>
          <w14:ligatures w14:val="none"/>
        </w:rPr>
        <w:t> for a complete application:</w:t>
      </w:r>
    </w:p>
    <w:p w14:paraId="2591A262" w14:textId="77777777" w:rsidR="00F6635D" w:rsidRPr="009348BE" w:rsidRDefault="00F6635D" w:rsidP="00F6635D">
      <w:pPr>
        <w:ind w:left="720" w:hanging="360"/>
        <w:rPr>
          <w:rFonts w:ascii="Aptos" w:eastAsia="Times New Roman" w:hAnsi="Aptos" w:cs="Aptos"/>
          <w:color w:val="000000"/>
          <w:kern w:val="0"/>
          <w:highlight w:val="yellow"/>
          <w14:ligatures w14:val="none"/>
        </w:rPr>
      </w:pPr>
      <w:r w:rsidRPr="009348BE">
        <w:rPr>
          <w:rFonts w:ascii="Aptos" w:eastAsia="Times New Roman" w:hAnsi="Aptos" w:cs="Aptos"/>
          <w:color w:val="000000"/>
          <w:kern w:val="0"/>
          <w:highlight w:val="yellow"/>
          <w14:ligatures w14:val="none"/>
        </w:rPr>
        <w:t>1.        A signed Assurances Document.</w:t>
      </w:r>
    </w:p>
    <w:p w14:paraId="5F0F3EF3" w14:textId="77777777" w:rsidR="00F6635D" w:rsidRDefault="00F6635D" w:rsidP="00F6635D">
      <w:pPr>
        <w:ind w:left="720" w:hanging="360"/>
        <w:rPr>
          <w:rFonts w:ascii="Aptos" w:eastAsia="Times New Roman" w:hAnsi="Aptos" w:cs="Aptos"/>
          <w:color w:val="000000"/>
          <w:kern w:val="0"/>
          <w14:ligatures w14:val="none"/>
        </w:rPr>
      </w:pPr>
      <w:r w:rsidRPr="009348BE">
        <w:rPr>
          <w:rFonts w:ascii="Aptos" w:eastAsia="Times New Roman" w:hAnsi="Aptos" w:cs="Aptos"/>
          <w:color w:val="000000"/>
          <w:kern w:val="0"/>
          <w:highlight w:val="yellow"/>
          <w14:ligatures w14:val="none"/>
        </w:rPr>
        <w:t>2.        A completed Climate Solutions Application Word document.</w:t>
      </w:r>
    </w:p>
    <w:p w14:paraId="66EED6B4" w14:textId="772A2683"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 xml:space="preserve">Allocations will be determined based on the competitive criteria listed in the attached </w:t>
      </w:r>
      <w:r>
        <w:rPr>
          <w:rFonts w:ascii="Aptos" w:eastAsia="Times New Roman" w:hAnsi="Aptos" w:cs="Aptos"/>
          <w:b/>
          <w:bCs/>
          <w:color w:val="000000"/>
          <w:kern w:val="0"/>
          <w14:ligatures w14:val="none"/>
        </w:rPr>
        <w:t>Climate Solutions Funding Guidance</w:t>
      </w:r>
      <w:r w:rsidR="00B167F7">
        <w:rPr>
          <w:rFonts w:ascii="Aptos" w:eastAsia="Times New Roman" w:hAnsi="Aptos" w:cs="Aptos"/>
          <w:b/>
          <w:bCs/>
          <w:color w:val="000000"/>
          <w:kern w:val="0"/>
          <w14:ligatures w14:val="none"/>
        </w:rPr>
        <w:t xml:space="preserve"> and below</w:t>
      </w:r>
      <w:r>
        <w:rPr>
          <w:rFonts w:ascii="Aptos" w:eastAsia="Times New Roman" w:hAnsi="Aptos" w:cs="Aptos"/>
          <w:color w:val="000000"/>
          <w:kern w:val="0"/>
          <w14:ligatures w14:val="none"/>
        </w:rPr>
        <w:t>.</w:t>
      </w:r>
    </w:p>
    <w:p w14:paraId="73AF9CD7" w14:textId="77777777"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Allocations will also be scaled proportionately according to the size of the request and the number of colleges requesting, relative to the available resources.</w:t>
      </w:r>
    </w:p>
    <w:p w14:paraId="57E95A55" w14:textId="77777777" w:rsidR="00007903" w:rsidRDefault="00007903" w:rsidP="00007903">
      <w:pPr>
        <w:pStyle w:val="Heading3"/>
      </w:pPr>
      <w:r>
        <w:t>Criteria</w:t>
      </w:r>
    </w:p>
    <w:p w14:paraId="2E3B5C33" w14:textId="77777777" w:rsidR="00007903" w:rsidRPr="00007903" w:rsidRDefault="00007903" w:rsidP="00007903">
      <w:pPr>
        <w:pStyle w:val="Body"/>
        <w:rPr>
          <w:rFonts w:asciiTheme="minorHAnsi" w:hAnsiTheme="minorHAnsi"/>
          <w:sz w:val="22"/>
          <w:szCs w:val="22"/>
        </w:rPr>
      </w:pPr>
      <w:r w:rsidRPr="00007903">
        <w:rPr>
          <w:rFonts w:asciiTheme="minorHAnsi" w:hAnsiTheme="minorHAnsi"/>
          <w:sz w:val="22"/>
          <w:szCs w:val="22"/>
        </w:rPr>
        <w:t xml:space="preserve">Awards will range from $20,000-$40,000. </w:t>
      </w:r>
    </w:p>
    <w:p w14:paraId="364CEAE4" w14:textId="77777777" w:rsidR="00007903" w:rsidRPr="00007903" w:rsidRDefault="00007903" w:rsidP="00007903">
      <w:pPr>
        <w:pStyle w:val="Body"/>
        <w:rPr>
          <w:rFonts w:asciiTheme="minorHAnsi" w:hAnsiTheme="minorHAnsi"/>
          <w:sz w:val="22"/>
          <w:szCs w:val="22"/>
        </w:rPr>
      </w:pPr>
      <w:r w:rsidRPr="00007903">
        <w:rPr>
          <w:rFonts w:asciiTheme="minorHAnsi" w:hAnsiTheme="minorHAnsi"/>
          <w:sz w:val="22"/>
          <w:szCs w:val="22"/>
        </w:rPr>
        <w:t xml:space="preserve">Requests that prioritize the following features will be most competitive: </w:t>
      </w:r>
    </w:p>
    <w:p w14:paraId="44986EA4" w14:textId="77777777" w:rsidR="00F47B42" w:rsidRDefault="00007903" w:rsidP="00007903">
      <w:pPr>
        <w:pStyle w:val="Body"/>
        <w:rPr>
          <w:rStyle w:val="Heading5Char"/>
          <w:rFonts w:asciiTheme="minorHAnsi" w:hAnsiTheme="minorHAnsi"/>
          <w:sz w:val="22"/>
          <w:szCs w:val="22"/>
        </w:rPr>
      </w:pPr>
      <w:r w:rsidRPr="00007903">
        <w:rPr>
          <w:rStyle w:val="Heading5Char"/>
          <w:rFonts w:asciiTheme="minorHAnsi" w:hAnsiTheme="minorHAnsi"/>
          <w:sz w:val="22"/>
          <w:szCs w:val="22"/>
        </w:rPr>
        <w:t>Competitive proposals:</w:t>
      </w:r>
      <w:r w:rsidRPr="00007903">
        <w:rPr>
          <w:rFonts w:asciiTheme="minorHAnsi" w:hAnsiTheme="minorHAnsi"/>
          <w:color w:val="202124"/>
          <w:sz w:val="22"/>
          <w:szCs w:val="22"/>
        </w:rPr>
        <w:br/>
        <w:t>1. The proposal is feasible in the 6-month time frame with all work completed by June 30, 2025, leading to curricular implementation by Fall quarter of 2025 and ongoing implementation thereafter.</w:t>
      </w:r>
      <w:r w:rsidRPr="00007903">
        <w:rPr>
          <w:rFonts w:asciiTheme="minorHAnsi" w:hAnsiTheme="minorHAnsi"/>
          <w:color w:val="202124"/>
          <w:sz w:val="22"/>
          <w:szCs w:val="22"/>
        </w:rPr>
        <w:br/>
        <w:t>2. The targeted green skills or climate justice/solutions-related learning outcomes are articulated.</w:t>
      </w:r>
      <w:r w:rsidRPr="00007903">
        <w:rPr>
          <w:rFonts w:asciiTheme="minorHAnsi" w:hAnsiTheme="minorHAnsi"/>
          <w:color w:val="202124"/>
          <w:sz w:val="22"/>
          <w:szCs w:val="22"/>
        </w:rPr>
        <w:br/>
        <w:t>3. Changes are made across the curriculum to serve students in many pathways.</w:t>
      </w:r>
      <w:r w:rsidRPr="00007903">
        <w:rPr>
          <w:rFonts w:asciiTheme="minorHAnsi" w:hAnsiTheme="minorHAnsi"/>
          <w:color w:val="202124"/>
          <w:sz w:val="22"/>
          <w:szCs w:val="22"/>
        </w:rPr>
        <w:br/>
      </w:r>
    </w:p>
    <w:p w14:paraId="3FDC08EA" w14:textId="272EAC65" w:rsidR="00007903" w:rsidRPr="00007903" w:rsidRDefault="00007903" w:rsidP="00007903">
      <w:pPr>
        <w:pStyle w:val="Body"/>
        <w:rPr>
          <w:rFonts w:asciiTheme="minorHAnsi" w:hAnsiTheme="minorHAnsi"/>
          <w:color w:val="202124"/>
          <w:sz w:val="22"/>
          <w:szCs w:val="22"/>
        </w:rPr>
      </w:pPr>
      <w:r w:rsidRPr="00007903">
        <w:rPr>
          <w:rStyle w:val="Heading5Char"/>
          <w:rFonts w:asciiTheme="minorHAnsi" w:hAnsiTheme="minorHAnsi"/>
          <w:sz w:val="22"/>
          <w:szCs w:val="22"/>
        </w:rPr>
        <w:t>Excellent proposals:</w:t>
      </w:r>
      <w:r w:rsidRPr="00007903">
        <w:rPr>
          <w:rFonts w:asciiTheme="minorHAnsi" w:hAnsiTheme="minorHAnsi"/>
          <w:color w:val="202124"/>
          <w:sz w:val="22"/>
          <w:szCs w:val="22"/>
        </w:rPr>
        <w:br/>
        <w:t>4. The proposal outlines strategies for utilizing the curricular changes for equity, increasing access, and responsiveness for disadvantaged student populations.</w:t>
      </w:r>
      <w:r w:rsidRPr="00007903">
        <w:rPr>
          <w:rFonts w:asciiTheme="minorHAnsi" w:hAnsiTheme="minorHAnsi"/>
          <w:color w:val="202124"/>
          <w:sz w:val="22"/>
          <w:szCs w:val="22"/>
        </w:rPr>
        <w:br/>
        <w:t>5. The proposal outlines strategies for pairing the curricular changes with high-impact teaching practices that make learning more active and meaningful for students (for example, prof-tech hands-on learning, career-connected learning, field-based learning, service learning, civic engagement, and undergraduate research).</w:t>
      </w:r>
      <w:r w:rsidRPr="00007903">
        <w:rPr>
          <w:rFonts w:asciiTheme="minorHAnsi" w:hAnsiTheme="minorHAnsi"/>
          <w:color w:val="202124"/>
          <w:sz w:val="22"/>
          <w:szCs w:val="22"/>
        </w:rPr>
        <w:br/>
        <w:t>6. New partnerships (broadly defined—between faculty/across the college, between colleges, external partnerships) are created to support curricular changes, to provide ongoing program responsiveness and skills alignment to the emerging green economy, to increase diverse student success, or to create new learning opportunities for students in climate solutions.</w:t>
      </w:r>
    </w:p>
    <w:p w14:paraId="5256D2F0" w14:textId="7379C1C1" w:rsidR="00F6635D" w:rsidRDefault="00007903" w:rsidP="00F6635D">
      <w:r>
        <w:br w:type="page"/>
      </w:r>
    </w:p>
    <w:p w14:paraId="16ED9BAA" w14:textId="02BE3489" w:rsidR="00621032" w:rsidRPr="00621032" w:rsidRDefault="00621032" w:rsidP="00621032">
      <w:pPr>
        <w:pStyle w:val="Heading3"/>
      </w:pPr>
      <w:r w:rsidRPr="00621032">
        <w:lastRenderedPageBreak/>
        <w:t xml:space="preserve">Application Questions: </w:t>
      </w:r>
      <w:r w:rsidR="008456B3">
        <w:t xml:space="preserve">Keep responses informative but short- ideally a paragraph or two for each question. </w:t>
      </w:r>
    </w:p>
    <w:p w14:paraId="5EA87392" w14:textId="77777777" w:rsidR="008456B3" w:rsidRDefault="008456B3"/>
    <w:p w14:paraId="6D605C84" w14:textId="68F6C9CC" w:rsidR="00621032" w:rsidRPr="008456B3" w:rsidRDefault="00621032">
      <w:pPr>
        <w:rPr>
          <w:b/>
          <w:bCs/>
        </w:rPr>
      </w:pPr>
      <w:r w:rsidRPr="008456B3">
        <w:rPr>
          <w:b/>
          <w:bCs/>
        </w:rPr>
        <w:t xml:space="preserve">List the name of the contact person responsible for managing this grant: </w:t>
      </w:r>
    </w:p>
    <w:p w14:paraId="60164481" w14:textId="210AF383" w:rsidR="00621032" w:rsidRPr="00621032" w:rsidRDefault="00621032">
      <w:r w:rsidRPr="00621032">
        <w:t>First name</w:t>
      </w:r>
      <w:r w:rsidR="00007903">
        <w:t>:</w:t>
      </w:r>
    </w:p>
    <w:p w14:paraId="71E939BB" w14:textId="3C2CBFBB" w:rsidR="00621032" w:rsidRPr="00621032" w:rsidRDefault="00621032">
      <w:r w:rsidRPr="00621032">
        <w:t>Last name</w:t>
      </w:r>
      <w:r w:rsidR="00007903">
        <w:t>:</w:t>
      </w:r>
    </w:p>
    <w:p w14:paraId="15A814FB" w14:textId="1BC44C4B" w:rsidR="00621032" w:rsidRDefault="00621032">
      <w:r w:rsidRPr="00621032">
        <w:t>Email</w:t>
      </w:r>
      <w:r w:rsidR="00007903">
        <w:t>:</w:t>
      </w:r>
      <w:r w:rsidRPr="00621032">
        <w:t xml:space="preserve"> </w:t>
      </w:r>
    </w:p>
    <w:p w14:paraId="6466DD5F" w14:textId="1177E9D6" w:rsidR="008456B3" w:rsidRPr="008456B3" w:rsidRDefault="008456B3">
      <w:pPr>
        <w:rPr>
          <w:b/>
          <w:bCs/>
        </w:rPr>
      </w:pPr>
      <w:r w:rsidRPr="008456B3">
        <w:rPr>
          <w:b/>
          <w:bCs/>
        </w:rPr>
        <w:t>Please answer the following questions:</w:t>
      </w:r>
    </w:p>
    <w:p w14:paraId="10EDAE47" w14:textId="2E2CD32C" w:rsidR="00621032" w:rsidRPr="00621032" w:rsidRDefault="00621032" w:rsidP="00E558F9">
      <w:pPr>
        <w:pStyle w:val="ListParagraph"/>
        <w:numPr>
          <w:ilvl w:val="0"/>
          <w:numId w:val="6"/>
        </w:numPr>
      </w:pPr>
      <w:r w:rsidRPr="00621032">
        <w:t xml:space="preserve">Please provide a short description of what </w:t>
      </w:r>
      <w:r w:rsidR="00007903">
        <w:t>the college</w:t>
      </w:r>
      <w:r w:rsidRPr="00621032">
        <w:t xml:space="preserve"> will do with this </w:t>
      </w:r>
      <w:r w:rsidR="00007903">
        <w:t>allocation</w:t>
      </w:r>
      <w:r w:rsidR="0045354E">
        <w:t xml:space="preserve"> aligned </w:t>
      </w:r>
      <w:r w:rsidR="009348BE">
        <w:t>with</w:t>
      </w:r>
      <w:r w:rsidR="0045354E">
        <w:t xml:space="preserve"> the criteria and goals of this allocation</w:t>
      </w:r>
      <w:r w:rsidRPr="00621032">
        <w:t>.</w:t>
      </w:r>
      <w:r w:rsidR="00007903">
        <w:t xml:space="preserve"> </w:t>
      </w:r>
    </w:p>
    <w:p w14:paraId="1219797F" w14:textId="17FA6C87" w:rsidR="00E558F9" w:rsidRPr="00621032" w:rsidRDefault="00621032" w:rsidP="00E558F9">
      <w:pPr>
        <w:pStyle w:val="ListParagraph"/>
        <w:numPr>
          <w:ilvl w:val="0"/>
          <w:numId w:val="6"/>
        </w:numPr>
      </w:pPr>
      <w:r w:rsidRPr="00621032">
        <w:t xml:space="preserve">Please provide a brief overview of how funds will be spent. </w:t>
      </w:r>
    </w:p>
    <w:p w14:paraId="6FB54E02" w14:textId="561F99F9" w:rsidR="00E558F9" w:rsidRPr="00621032" w:rsidRDefault="00621032" w:rsidP="00E558F9">
      <w:pPr>
        <w:pStyle w:val="ListParagraph"/>
        <w:numPr>
          <w:ilvl w:val="0"/>
          <w:numId w:val="6"/>
        </w:numPr>
      </w:pPr>
      <w:r w:rsidRPr="00621032">
        <w:t xml:space="preserve">How </w:t>
      </w:r>
      <w:r w:rsidR="00E558F9">
        <w:t>will these changes to the curriculum serve students from many different pathways across the college</w:t>
      </w:r>
      <w:r w:rsidRPr="00621032">
        <w:t xml:space="preserve">? </w:t>
      </w:r>
    </w:p>
    <w:p w14:paraId="4D4B80A3" w14:textId="51A91D3C" w:rsidR="00621032" w:rsidRPr="00621032" w:rsidRDefault="00621032" w:rsidP="00E558F9">
      <w:pPr>
        <w:pStyle w:val="ListParagraph"/>
        <w:numPr>
          <w:ilvl w:val="0"/>
          <w:numId w:val="6"/>
        </w:numPr>
      </w:pPr>
      <w:r w:rsidRPr="00621032">
        <w:t xml:space="preserve">What are the green skills or climate justice/solutions-related learning outcomes you are targeting? </w:t>
      </w:r>
    </w:p>
    <w:p w14:paraId="33E01809" w14:textId="3AC79B48" w:rsidR="00621032" w:rsidRPr="00621032" w:rsidRDefault="00621032" w:rsidP="00E558F9">
      <w:pPr>
        <w:pStyle w:val="ListParagraph"/>
        <w:numPr>
          <w:ilvl w:val="0"/>
          <w:numId w:val="6"/>
        </w:numPr>
      </w:pPr>
      <w:r w:rsidRPr="00621032">
        <w:t xml:space="preserve">Describe why this plan is feasible in the six-month timeframe and when implementation will occur. </w:t>
      </w:r>
    </w:p>
    <w:p w14:paraId="4D38CF5B" w14:textId="77777777" w:rsidR="00621032" w:rsidRDefault="00621032"/>
    <w:sectPr w:rsidR="00621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97FC6"/>
    <w:multiLevelType w:val="hybridMultilevel"/>
    <w:tmpl w:val="AA18E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6301A"/>
    <w:multiLevelType w:val="hybridMultilevel"/>
    <w:tmpl w:val="2D00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D3364"/>
    <w:multiLevelType w:val="hybridMultilevel"/>
    <w:tmpl w:val="6BB8E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F10B6D"/>
    <w:multiLevelType w:val="hybridMultilevel"/>
    <w:tmpl w:val="F244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12C66"/>
    <w:multiLevelType w:val="hybridMultilevel"/>
    <w:tmpl w:val="E54AC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2D5AA4"/>
    <w:multiLevelType w:val="hybridMultilevel"/>
    <w:tmpl w:val="2CEE0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67716">
    <w:abstractNumId w:val="0"/>
  </w:num>
  <w:num w:numId="2" w16cid:durableId="741147939">
    <w:abstractNumId w:val="3"/>
  </w:num>
  <w:num w:numId="3" w16cid:durableId="1935506948">
    <w:abstractNumId w:val="4"/>
  </w:num>
  <w:num w:numId="4" w16cid:durableId="456224345">
    <w:abstractNumId w:val="2"/>
  </w:num>
  <w:num w:numId="5" w16cid:durableId="497230517">
    <w:abstractNumId w:val="2"/>
  </w:num>
  <w:num w:numId="6" w16cid:durableId="24791627">
    <w:abstractNumId w:val="5"/>
  </w:num>
  <w:num w:numId="7" w16cid:durableId="130445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3E"/>
    <w:rsid w:val="00007903"/>
    <w:rsid w:val="0001785E"/>
    <w:rsid w:val="00110E26"/>
    <w:rsid w:val="001168BA"/>
    <w:rsid w:val="001852E7"/>
    <w:rsid w:val="002C6B92"/>
    <w:rsid w:val="00365400"/>
    <w:rsid w:val="003D1EBE"/>
    <w:rsid w:val="0044054A"/>
    <w:rsid w:val="0045354E"/>
    <w:rsid w:val="0047636E"/>
    <w:rsid w:val="00516612"/>
    <w:rsid w:val="0059126D"/>
    <w:rsid w:val="00621032"/>
    <w:rsid w:val="00631D19"/>
    <w:rsid w:val="00676D48"/>
    <w:rsid w:val="006D5BAC"/>
    <w:rsid w:val="006E2022"/>
    <w:rsid w:val="008456B3"/>
    <w:rsid w:val="00857E40"/>
    <w:rsid w:val="008B05A7"/>
    <w:rsid w:val="008B1458"/>
    <w:rsid w:val="008C0E8D"/>
    <w:rsid w:val="00917FA9"/>
    <w:rsid w:val="009348BE"/>
    <w:rsid w:val="00964535"/>
    <w:rsid w:val="009662BD"/>
    <w:rsid w:val="00A82664"/>
    <w:rsid w:val="00B167F7"/>
    <w:rsid w:val="00BA304A"/>
    <w:rsid w:val="00BF05BF"/>
    <w:rsid w:val="00C50C3E"/>
    <w:rsid w:val="00CA7C6B"/>
    <w:rsid w:val="00D56718"/>
    <w:rsid w:val="00D76B05"/>
    <w:rsid w:val="00DB339B"/>
    <w:rsid w:val="00E179AD"/>
    <w:rsid w:val="00E558F9"/>
    <w:rsid w:val="00E64F78"/>
    <w:rsid w:val="00EF5C86"/>
    <w:rsid w:val="00F47B42"/>
    <w:rsid w:val="00F6635D"/>
    <w:rsid w:val="00FB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A9CB1"/>
  <w15:chartTrackingRefBased/>
  <w15:docId w15:val="{54F3220E-235E-4ED9-B0CB-88291743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C50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C50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1"/>
    <w:rsid w:val="00C50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C3E"/>
    <w:rPr>
      <w:rFonts w:eastAsiaTheme="majorEastAsia" w:cstheme="majorBidi"/>
      <w:color w:val="272727" w:themeColor="text1" w:themeTint="D8"/>
    </w:rPr>
  </w:style>
  <w:style w:type="paragraph" w:styleId="Title">
    <w:name w:val="Title"/>
    <w:basedOn w:val="Normal"/>
    <w:next w:val="Normal"/>
    <w:link w:val="TitleChar"/>
    <w:uiPriority w:val="10"/>
    <w:qFormat/>
    <w:rsid w:val="00C50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C3E"/>
    <w:pPr>
      <w:spacing w:before="160"/>
      <w:jc w:val="center"/>
    </w:pPr>
    <w:rPr>
      <w:i/>
      <w:iCs/>
      <w:color w:val="404040" w:themeColor="text1" w:themeTint="BF"/>
    </w:rPr>
  </w:style>
  <w:style w:type="character" w:customStyle="1" w:styleId="QuoteChar">
    <w:name w:val="Quote Char"/>
    <w:basedOn w:val="DefaultParagraphFont"/>
    <w:link w:val="Quote"/>
    <w:uiPriority w:val="29"/>
    <w:rsid w:val="00C50C3E"/>
    <w:rPr>
      <w:i/>
      <w:iCs/>
      <w:color w:val="404040" w:themeColor="text1" w:themeTint="BF"/>
    </w:rPr>
  </w:style>
  <w:style w:type="paragraph" w:styleId="ListParagraph">
    <w:name w:val="List Paragraph"/>
    <w:basedOn w:val="Normal"/>
    <w:uiPriority w:val="34"/>
    <w:qFormat/>
    <w:rsid w:val="00C50C3E"/>
    <w:pPr>
      <w:ind w:left="720"/>
      <w:contextualSpacing/>
    </w:pPr>
  </w:style>
  <w:style w:type="character" w:styleId="IntenseEmphasis">
    <w:name w:val="Intense Emphasis"/>
    <w:basedOn w:val="DefaultParagraphFont"/>
    <w:uiPriority w:val="21"/>
    <w:qFormat/>
    <w:rsid w:val="00C50C3E"/>
    <w:rPr>
      <w:i/>
      <w:iCs/>
      <w:color w:val="0F4761" w:themeColor="accent1" w:themeShade="BF"/>
    </w:rPr>
  </w:style>
  <w:style w:type="paragraph" w:styleId="IntenseQuote">
    <w:name w:val="Intense Quote"/>
    <w:basedOn w:val="Normal"/>
    <w:next w:val="Normal"/>
    <w:link w:val="IntenseQuoteChar"/>
    <w:uiPriority w:val="30"/>
    <w:qFormat/>
    <w:rsid w:val="00C50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C3E"/>
    <w:rPr>
      <w:i/>
      <w:iCs/>
      <w:color w:val="0F4761" w:themeColor="accent1" w:themeShade="BF"/>
    </w:rPr>
  </w:style>
  <w:style w:type="character" w:styleId="IntenseReference">
    <w:name w:val="Intense Reference"/>
    <w:basedOn w:val="DefaultParagraphFont"/>
    <w:uiPriority w:val="32"/>
    <w:qFormat/>
    <w:rsid w:val="00C50C3E"/>
    <w:rPr>
      <w:b/>
      <w:bCs/>
      <w:smallCaps/>
      <w:color w:val="0F4761" w:themeColor="accent1" w:themeShade="BF"/>
      <w:spacing w:val="5"/>
    </w:rPr>
  </w:style>
  <w:style w:type="paragraph" w:customStyle="1" w:styleId="Body">
    <w:name w:val="Body"/>
    <w:basedOn w:val="Normal"/>
    <w:link w:val="BodyChar"/>
    <w:qFormat/>
    <w:rsid w:val="008B05A7"/>
    <w:pPr>
      <w:widowControl w:val="0"/>
      <w:tabs>
        <w:tab w:val="left" w:pos="0"/>
      </w:tabs>
      <w:suppressAutoHyphens/>
      <w:autoSpaceDE w:val="0"/>
      <w:autoSpaceDN w:val="0"/>
      <w:adjustRightInd w:val="0"/>
      <w:spacing w:before="60" w:after="180" w:line="240" w:lineRule="atLeast"/>
    </w:pPr>
    <w:rPr>
      <w:rFonts w:ascii="Franklin Gothic Book" w:hAnsi="Franklin Gothic Book"/>
      <w:kern w:val="0"/>
      <w:sz w:val="20"/>
      <w:szCs w:val="20"/>
      <w14:ligatures w14:val="none"/>
    </w:rPr>
  </w:style>
  <w:style w:type="character" w:customStyle="1" w:styleId="BodyChar">
    <w:name w:val="Body Char"/>
    <w:basedOn w:val="DefaultParagraphFont"/>
    <w:link w:val="Body"/>
    <w:locked/>
    <w:rsid w:val="008B05A7"/>
    <w:rPr>
      <w:rFonts w:ascii="Franklin Gothic Book" w:hAnsi="Franklin Gothic Book"/>
      <w:kern w:val="0"/>
      <w:sz w:val="20"/>
      <w:szCs w:val="20"/>
      <w14:ligatures w14:val="none"/>
    </w:rPr>
  </w:style>
  <w:style w:type="paragraph" w:styleId="NormalWeb">
    <w:name w:val="Normal (Web)"/>
    <w:basedOn w:val="Normal"/>
    <w:uiPriority w:val="99"/>
    <w:semiHidden/>
    <w:unhideWhenUsed/>
    <w:rsid w:val="005912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663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269937">
      <w:bodyDiv w:val="1"/>
      <w:marLeft w:val="0"/>
      <w:marRight w:val="0"/>
      <w:marTop w:val="0"/>
      <w:marBottom w:val="0"/>
      <w:divBdr>
        <w:top w:val="none" w:sz="0" w:space="0" w:color="auto"/>
        <w:left w:val="none" w:sz="0" w:space="0" w:color="auto"/>
        <w:bottom w:val="none" w:sz="0" w:space="0" w:color="auto"/>
        <w:right w:val="none" w:sz="0" w:space="0" w:color="auto"/>
      </w:divBdr>
    </w:div>
    <w:div w:id="1088890909">
      <w:bodyDiv w:val="1"/>
      <w:marLeft w:val="0"/>
      <w:marRight w:val="0"/>
      <w:marTop w:val="0"/>
      <w:marBottom w:val="0"/>
      <w:divBdr>
        <w:top w:val="none" w:sz="0" w:space="0" w:color="auto"/>
        <w:left w:val="none" w:sz="0" w:space="0" w:color="auto"/>
        <w:bottom w:val="none" w:sz="0" w:space="0" w:color="auto"/>
        <w:right w:val="none" w:sz="0" w:space="0" w:color="auto"/>
      </w:divBdr>
    </w:div>
    <w:div w:id="21184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aver@sbct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4d3bb3-dc3d-4a39-9ade-fedcf66e9a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A355D156F16F4DA1BE5186373CE71A" ma:contentTypeVersion="15" ma:contentTypeDescription="Create a new document." ma:contentTypeScope="" ma:versionID="991b00ad9e4ebbdae0f9443cb1feae3d">
  <xsd:schema xmlns:xsd="http://www.w3.org/2001/XMLSchema" xmlns:xs="http://www.w3.org/2001/XMLSchema" xmlns:p="http://schemas.microsoft.com/office/2006/metadata/properties" xmlns:ns3="e74d3bb3-dc3d-4a39-9ade-fedcf66e9a92" xmlns:ns4="9055c91b-e68f-4b07-b5de-c231a776868f" targetNamespace="http://schemas.microsoft.com/office/2006/metadata/properties" ma:root="true" ma:fieldsID="db3b832c9139998e084a088046ad0f2a" ns3:_="" ns4:_="">
    <xsd:import namespace="e74d3bb3-dc3d-4a39-9ade-fedcf66e9a92"/>
    <xsd:import namespace="9055c91b-e68f-4b07-b5de-c231a77686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d3bb3-dc3d-4a39-9ade-fedcf66e9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55c91b-e68f-4b07-b5de-c231a77686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9C680-4543-43E3-B174-E8329A0FD22E}">
  <ds:schemaRefs>
    <ds:schemaRef ds:uri="e74d3bb3-dc3d-4a39-9ade-fedcf66e9a92"/>
    <ds:schemaRef ds:uri="http://purl.org/dc/dcmitype/"/>
    <ds:schemaRef ds:uri="http://purl.org/dc/elements/1.1/"/>
    <ds:schemaRef ds:uri="9055c91b-e68f-4b07-b5de-c231a776868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289CC83-2DC5-44F0-9C2F-B310C301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d3bb3-dc3d-4a39-9ade-fedcf66e9a92"/>
    <ds:schemaRef ds:uri="9055c91b-e68f-4b07-b5de-c231a776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8BD85-19B9-477B-8907-945A2681C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768</Words>
  <Characters>4825</Characters>
  <Application>Microsoft Office Word</Application>
  <DocSecurity>0</DocSecurity>
  <Lines>92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Shaver</dc:creator>
  <cp:keywords/>
  <dc:description/>
  <cp:lastModifiedBy>Irene Shaver</cp:lastModifiedBy>
  <cp:revision>32</cp:revision>
  <dcterms:created xsi:type="dcterms:W3CDTF">2024-11-22T16:11:00Z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762e127f-bdb8-416c-b75c-78b68dcb5a3a</vt:lpwstr>
  </property>
  <property fmtid="{D5CDD505-2E9C-101B-9397-08002B2CF9AE}" pid="3" name="ContentTypeId">
    <vt:lpwstr>0x010100C3A355D156F16F4DA1BE5186373CE71A</vt:lpwstr>
  </property>
</Properties>
</file>