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96E" w:rsidRPr="001A70B9" w:rsidRDefault="001A70B9" w:rsidP="001A70B9">
      <w:pPr>
        <w:pStyle w:val="Heading1"/>
        <w:rPr>
          <w:rFonts w:asciiTheme="minorHAnsi" w:eastAsia="Times New Roman" w:hAnsiTheme="minorHAnsi"/>
          <w:sz w:val="24"/>
          <w:szCs w:val="24"/>
        </w:rPr>
      </w:pPr>
      <w:r w:rsidRPr="001A70B9">
        <w:rPr>
          <w:rFonts w:asciiTheme="minorHAnsi" w:eastAsia="Times New Roman" w:hAnsiTheme="minorHAnsi"/>
          <w:sz w:val="24"/>
          <w:szCs w:val="24"/>
        </w:rPr>
        <w:t>LLC Accessibility Commitment</w:t>
      </w:r>
    </w:p>
    <w:p w:rsidR="001A70B9" w:rsidRPr="001A70B9" w:rsidRDefault="001A70B9" w:rsidP="001A70B9">
      <w:pPr>
        <w:pStyle w:val="Heading2"/>
        <w:rPr>
          <w:rFonts w:asciiTheme="minorHAnsi" w:hAnsiTheme="minorHAnsi"/>
          <w:sz w:val="24"/>
          <w:szCs w:val="24"/>
          <w:shd w:val="clear" w:color="auto" w:fill="FFFFFF"/>
        </w:rPr>
      </w:pPr>
      <w:r w:rsidRPr="001A70B9">
        <w:rPr>
          <w:rFonts w:asciiTheme="minorHAnsi" w:hAnsiTheme="minorHAnsi"/>
          <w:sz w:val="24"/>
          <w:szCs w:val="24"/>
          <w:shd w:val="clear" w:color="auto" w:fill="FFFFFF"/>
        </w:rPr>
        <w:t xml:space="preserve">Statement: </w:t>
      </w:r>
    </w:p>
    <w:p w:rsidR="00E0396E" w:rsidRPr="001A70B9" w:rsidRDefault="00E0396E" w:rsidP="00E0396E">
      <w:pPr>
        <w:shd w:val="clear" w:color="auto" w:fill="FFFFFF"/>
        <w:spacing w:before="100" w:beforeAutospacing="1" w:after="100" w:afterAutospacing="1" w:line="240" w:lineRule="auto"/>
        <w:textAlignment w:val="baseline"/>
        <w:rPr>
          <w:rFonts w:cs="Arial"/>
          <w:color w:val="252726"/>
          <w:sz w:val="24"/>
          <w:szCs w:val="24"/>
          <w:shd w:val="clear" w:color="auto" w:fill="FFFFFF"/>
        </w:rPr>
      </w:pPr>
      <w:r w:rsidRPr="001A70B9">
        <w:rPr>
          <w:rFonts w:cs="Arial"/>
          <w:color w:val="252726"/>
          <w:sz w:val="24"/>
          <w:szCs w:val="24"/>
          <w:shd w:val="clear" w:color="auto" w:fill="FFFFFF"/>
        </w:rPr>
        <w:t xml:space="preserve">LLC is committed to providing and promoting equal access to library collections, services, and facilities for all library users. We fully support the work being done at the local and national levels to ensure library resources </w:t>
      </w:r>
      <w:r w:rsidR="001A70B9" w:rsidRPr="001A70B9">
        <w:rPr>
          <w:rFonts w:cs="Arial"/>
          <w:color w:val="252726"/>
          <w:sz w:val="24"/>
          <w:szCs w:val="24"/>
          <w:shd w:val="clear" w:color="auto" w:fill="FFFFFF"/>
        </w:rPr>
        <w:t xml:space="preserve">and services </w:t>
      </w:r>
      <w:r w:rsidRPr="001A70B9">
        <w:rPr>
          <w:rFonts w:cs="Arial"/>
          <w:color w:val="252726"/>
          <w:sz w:val="24"/>
          <w:szCs w:val="24"/>
          <w:shd w:val="clear" w:color="auto" w:fill="FFFFFF"/>
        </w:rPr>
        <w:t>adhere to policies, laws and standards designed to create equity in access for our customers.</w:t>
      </w:r>
    </w:p>
    <w:p w:rsidR="00E0396E" w:rsidRPr="001A70B9" w:rsidRDefault="001A70B9" w:rsidP="001A70B9">
      <w:pPr>
        <w:pStyle w:val="Heading2"/>
        <w:rPr>
          <w:rFonts w:asciiTheme="minorHAnsi" w:eastAsia="Times New Roman" w:hAnsiTheme="minorHAnsi" w:cs="Helvetica"/>
          <w:color w:val="505050"/>
          <w:sz w:val="24"/>
          <w:szCs w:val="24"/>
        </w:rPr>
      </w:pPr>
      <w:r w:rsidRPr="001A70B9">
        <w:rPr>
          <w:rFonts w:asciiTheme="minorHAnsi" w:hAnsiTheme="minorHAnsi"/>
          <w:sz w:val="24"/>
          <w:szCs w:val="24"/>
          <w:shd w:val="clear" w:color="auto" w:fill="FFFFFF"/>
        </w:rPr>
        <w:t xml:space="preserve"> Statement of Principles:</w:t>
      </w:r>
    </w:p>
    <w:p w:rsidR="00E0396E" w:rsidRPr="001A70B9" w:rsidRDefault="00E0396E" w:rsidP="00E0396E">
      <w:pPr>
        <w:numPr>
          <w:ilvl w:val="0"/>
          <w:numId w:val="1"/>
        </w:numPr>
        <w:shd w:val="clear" w:color="auto" w:fill="FFFFFF"/>
        <w:spacing w:before="100" w:beforeAutospacing="1" w:after="100" w:afterAutospacing="1" w:line="240" w:lineRule="auto"/>
        <w:textAlignment w:val="baseline"/>
        <w:rPr>
          <w:rFonts w:eastAsia="Times New Roman" w:cs="Helvetica"/>
          <w:color w:val="505050"/>
          <w:sz w:val="24"/>
          <w:szCs w:val="24"/>
        </w:rPr>
      </w:pPr>
      <w:r w:rsidRPr="001A70B9">
        <w:rPr>
          <w:rFonts w:eastAsia="Times New Roman" w:cs="Helvetica"/>
          <w:color w:val="505050"/>
          <w:sz w:val="24"/>
          <w:szCs w:val="24"/>
        </w:rPr>
        <w:t xml:space="preserve">Help our customers achieve the maximum benefit, insight and understanding from our content, regardless of physical ability. </w:t>
      </w:r>
    </w:p>
    <w:p w:rsidR="003C0D51" w:rsidRPr="001A70B9" w:rsidRDefault="003C0D51" w:rsidP="003C0D51">
      <w:pPr>
        <w:numPr>
          <w:ilvl w:val="1"/>
          <w:numId w:val="1"/>
        </w:numPr>
        <w:shd w:val="clear" w:color="auto" w:fill="FFFFFF"/>
        <w:spacing w:before="100" w:beforeAutospacing="1" w:after="100" w:afterAutospacing="1" w:line="240" w:lineRule="auto"/>
        <w:textAlignment w:val="baseline"/>
        <w:rPr>
          <w:rFonts w:eastAsia="Times New Roman" w:cs="Helvetica"/>
          <w:color w:val="505050"/>
          <w:sz w:val="24"/>
          <w:szCs w:val="24"/>
        </w:rPr>
      </w:pPr>
      <w:r w:rsidRPr="001A70B9">
        <w:rPr>
          <w:rFonts w:eastAsia="Times New Roman" w:cs="Helvetica"/>
          <w:color w:val="505050"/>
          <w:sz w:val="24"/>
          <w:szCs w:val="24"/>
        </w:rPr>
        <w:t>Work with local DSS and IT Departments to ensure accommodations and technology is adequate in our libraries to support all learning and abilities.</w:t>
      </w:r>
    </w:p>
    <w:p w:rsidR="00E0396E" w:rsidRPr="001A70B9" w:rsidRDefault="00E0396E" w:rsidP="00E0396E">
      <w:pPr>
        <w:numPr>
          <w:ilvl w:val="0"/>
          <w:numId w:val="1"/>
        </w:numPr>
        <w:shd w:val="clear" w:color="auto" w:fill="FFFFFF"/>
        <w:spacing w:before="100" w:beforeAutospacing="1" w:after="100" w:afterAutospacing="1" w:line="240" w:lineRule="auto"/>
        <w:textAlignment w:val="baseline"/>
        <w:rPr>
          <w:rFonts w:eastAsia="Times New Roman" w:cs="Helvetica"/>
          <w:color w:val="505050"/>
          <w:sz w:val="24"/>
          <w:szCs w:val="24"/>
        </w:rPr>
      </w:pPr>
      <w:r w:rsidRPr="001A70B9">
        <w:rPr>
          <w:rFonts w:eastAsia="Times New Roman" w:cs="Helvetica"/>
          <w:color w:val="505050"/>
          <w:sz w:val="24"/>
          <w:szCs w:val="24"/>
        </w:rPr>
        <w:t>Encourage our vendors to provide accessible products and content.</w:t>
      </w:r>
    </w:p>
    <w:p w:rsidR="003C0D51" w:rsidRPr="001A70B9" w:rsidRDefault="003C0D51" w:rsidP="003C0D51">
      <w:pPr>
        <w:numPr>
          <w:ilvl w:val="1"/>
          <w:numId w:val="1"/>
        </w:numPr>
        <w:shd w:val="clear" w:color="auto" w:fill="FFFFFF"/>
        <w:spacing w:before="100" w:beforeAutospacing="1" w:after="100" w:afterAutospacing="1" w:line="240" w:lineRule="auto"/>
        <w:textAlignment w:val="baseline"/>
        <w:rPr>
          <w:rFonts w:eastAsia="Times New Roman" w:cs="Helvetica"/>
          <w:color w:val="505050"/>
          <w:sz w:val="24"/>
          <w:szCs w:val="24"/>
        </w:rPr>
      </w:pPr>
      <w:r w:rsidRPr="001A70B9">
        <w:rPr>
          <w:rFonts w:eastAsia="Times New Roman" w:cs="Helvetica"/>
          <w:color w:val="505050"/>
          <w:sz w:val="24"/>
          <w:szCs w:val="24"/>
        </w:rPr>
        <w:t>Leverage our consortia voices and purchasing power to require VPATs and accessibility checks on electronic library resources</w:t>
      </w:r>
    </w:p>
    <w:p w:rsidR="00E0396E" w:rsidRPr="001A70B9" w:rsidRDefault="001A70B9" w:rsidP="00E0396E">
      <w:pPr>
        <w:numPr>
          <w:ilvl w:val="0"/>
          <w:numId w:val="1"/>
        </w:numPr>
        <w:shd w:val="clear" w:color="auto" w:fill="FFFFFF"/>
        <w:spacing w:before="100" w:beforeAutospacing="1" w:after="100" w:afterAutospacing="1" w:line="240" w:lineRule="auto"/>
        <w:textAlignment w:val="baseline"/>
        <w:rPr>
          <w:rFonts w:eastAsia="Times New Roman" w:cs="Helvetica"/>
          <w:color w:val="505050"/>
          <w:sz w:val="24"/>
          <w:szCs w:val="24"/>
        </w:rPr>
      </w:pPr>
      <w:r w:rsidRPr="001A70B9">
        <w:rPr>
          <w:rFonts w:eastAsia="Times New Roman" w:cs="Helvetica"/>
          <w:color w:val="505050"/>
          <w:sz w:val="24"/>
          <w:szCs w:val="24"/>
        </w:rPr>
        <w:t>Collaborate</w:t>
      </w:r>
      <w:r w:rsidR="00E0396E" w:rsidRPr="001A70B9">
        <w:rPr>
          <w:rFonts w:eastAsia="Times New Roman" w:cs="Helvetica"/>
          <w:color w:val="505050"/>
          <w:sz w:val="24"/>
          <w:szCs w:val="24"/>
        </w:rPr>
        <w:t xml:space="preserve"> with external agencies and experts to enhance our features</w:t>
      </w:r>
      <w:r w:rsidR="00401480" w:rsidRPr="001A70B9">
        <w:rPr>
          <w:rFonts w:eastAsia="Times New Roman" w:cs="Helvetica"/>
          <w:color w:val="505050"/>
          <w:sz w:val="24"/>
          <w:szCs w:val="24"/>
        </w:rPr>
        <w:t>, products, services, resources and instruction tools.</w:t>
      </w:r>
    </w:p>
    <w:p w:rsidR="003C0D51" w:rsidRPr="001A70B9" w:rsidRDefault="003C0D51" w:rsidP="003C0D51">
      <w:pPr>
        <w:numPr>
          <w:ilvl w:val="1"/>
          <w:numId w:val="1"/>
        </w:numPr>
        <w:shd w:val="clear" w:color="auto" w:fill="FFFFFF"/>
        <w:spacing w:before="100" w:beforeAutospacing="1" w:after="100" w:afterAutospacing="1" w:line="240" w:lineRule="auto"/>
        <w:textAlignment w:val="baseline"/>
        <w:rPr>
          <w:rFonts w:eastAsia="Times New Roman" w:cs="Helvetica"/>
          <w:color w:val="505050"/>
          <w:sz w:val="24"/>
          <w:szCs w:val="24"/>
        </w:rPr>
      </w:pPr>
      <w:r w:rsidRPr="001A70B9">
        <w:rPr>
          <w:rFonts w:eastAsia="Times New Roman" w:cs="Helvetica"/>
          <w:color w:val="505050"/>
          <w:sz w:val="24"/>
          <w:szCs w:val="24"/>
        </w:rPr>
        <w:t xml:space="preserve">Work with SBCTC, ELC, ITC and Access360 groups to </w:t>
      </w:r>
      <w:r w:rsidR="00401480" w:rsidRPr="001A70B9">
        <w:rPr>
          <w:rFonts w:eastAsia="Times New Roman" w:cs="Helvetica"/>
          <w:color w:val="505050"/>
          <w:sz w:val="24"/>
          <w:szCs w:val="24"/>
        </w:rPr>
        <w:t xml:space="preserve">gain accessibility training </w:t>
      </w:r>
      <w:r w:rsidR="001A70B9">
        <w:rPr>
          <w:rFonts w:eastAsia="Times New Roman" w:cs="Helvetica"/>
          <w:color w:val="505050"/>
          <w:sz w:val="24"/>
          <w:szCs w:val="24"/>
        </w:rPr>
        <w:t>for library professionals and share best practices.</w:t>
      </w:r>
      <w:bookmarkStart w:id="0" w:name="_GoBack"/>
      <w:bookmarkEnd w:id="0"/>
    </w:p>
    <w:p w:rsidR="00DB374B" w:rsidRPr="001A70B9" w:rsidRDefault="001A70B9">
      <w:pPr>
        <w:rPr>
          <w:sz w:val="24"/>
          <w:szCs w:val="24"/>
        </w:rPr>
      </w:pPr>
    </w:p>
    <w:sectPr w:rsidR="00DB374B" w:rsidRPr="001A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10B9A"/>
    <w:multiLevelType w:val="multilevel"/>
    <w:tmpl w:val="ABCE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6E"/>
    <w:rsid w:val="001A70B9"/>
    <w:rsid w:val="0027066C"/>
    <w:rsid w:val="003C0D51"/>
    <w:rsid w:val="00401480"/>
    <w:rsid w:val="0057330D"/>
    <w:rsid w:val="00E0396E"/>
    <w:rsid w:val="00E3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A6D3"/>
  <w15:chartTrackingRefBased/>
  <w15:docId w15:val="{CD77AB49-2FC3-44FF-9911-2CFBE735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70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0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70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3</cp:revision>
  <dcterms:created xsi:type="dcterms:W3CDTF">2018-02-12T21:30:00Z</dcterms:created>
  <dcterms:modified xsi:type="dcterms:W3CDTF">2018-02-14T20:11:00Z</dcterms:modified>
</cp:coreProperties>
</file>