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66" w:rsidRPr="007005A5" w:rsidRDefault="007005A5" w:rsidP="00843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and Technical Colleges </w:t>
      </w:r>
      <w:r w:rsidR="00843361" w:rsidRPr="007005A5">
        <w:rPr>
          <w:b/>
          <w:sz w:val="28"/>
          <w:szCs w:val="28"/>
        </w:rPr>
        <w:t>21</w:t>
      </w:r>
      <w:r w:rsidR="00843361" w:rsidRPr="007005A5">
        <w:rPr>
          <w:b/>
          <w:sz w:val="28"/>
          <w:szCs w:val="28"/>
          <w:vertAlign w:val="superscript"/>
        </w:rPr>
        <w:t>st</w:t>
      </w:r>
      <w:r w:rsidR="00843361" w:rsidRPr="007005A5">
        <w:rPr>
          <w:b/>
          <w:sz w:val="28"/>
          <w:szCs w:val="28"/>
        </w:rPr>
        <w:t xml:space="preserve"> Century Library Project</w:t>
      </w:r>
      <w:r>
        <w:rPr>
          <w:b/>
          <w:sz w:val="28"/>
          <w:szCs w:val="28"/>
        </w:rPr>
        <w:t>—2011-15</w:t>
      </w:r>
    </w:p>
    <w:p w:rsidR="00843361" w:rsidRPr="007005A5" w:rsidRDefault="00843361" w:rsidP="00843361">
      <w:r w:rsidRPr="007005A5">
        <w:rPr>
          <w:b/>
        </w:rPr>
        <w:t xml:space="preserve">Vision:  </w:t>
      </w:r>
      <w:r w:rsidRPr="007005A5">
        <w:t>Leverage technology to enhance library resources, services and instruction, to bring the same seamlessness of the public university libraries to all community and technical college students by 201</w:t>
      </w:r>
      <w:r w:rsidR="00C255D3">
        <w:t>5</w:t>
      </w:r>
      <w:r w:rsidRPr="007005A5">
        <w:t>.</w:t>
      </w:r>
    </w:p>
    <w:p w:rsidR="00843361" w:rsidRPr="007005A5" w:rsidRDefault="00843361" w:rsidP="00843361">
      <w:r w:rsidRPr="007005A5">
        <w:t xml:space="preserve">Significantly increase the level of access to digital/shared library resources at the lowest possible cost to the state by statewide purchases.  </w:t>
      </w:r>
    </w:p>
    <w:p w:rsidR="00843361" w:rsidRPr="007005A5" w:rsidRDefault="00843361" w:rsidP="00843361">
      <w:r w:rsidRPr="007005A5">
        <w:rPr>
          <w:b/>
        </w:rPr>
        <w:t xml:space="preserve">Resources: </w:t>
      </w:r>
      <w:r w:rsidRPr="007005A5">
        <w:t xml:space="preserve"> Students should have equal </w:t>
      </w:r>
      <w:r w:rsidR="00C901E5" w:rsidRPr="007005A5">
        <w:t xml:space="preserve">library </w:t>
      </w:r>
      <w:r w:rsidRPr="007005A5">
        <w:t>resources from college to college that prepares them for transition to baccalaureate institutions</w:t>
      </w:r>
      <w:r w:rsidR="007005A5">
        <w:t xml:space="preserve"> and employment</w:t>
      </w:r>
      <w:r w:rsidRPr="007005A5">
        <w:t>.  Uneven library funding from college to college and a tremendous difference in funding compared to baccalaureates creates an uneven playing field for CTC students in terms of electronic resources available</w:t>
      </w:r>
      <w:r w:rsidR="00AF2033" w:rsidRPr="007005A5">
        <w:t xml:space="preserve"> and preparation for further education</w:t>
      </w:r>
      <w:r w:rsidRPr="007005A5">
        <w:t>.</w:t>
      </w:r>
      <w:r w:rsidR="00AF2033" w:rsidRPr="007005A5">
        <w:t xml:space="preserve">  Enhancements include core and specialty digital collections and “learning objects” databases for media resources.</w:t>
      </w:r>
      <w:r w:rsidR="00C901E5" w:rsidRPr="007005A5">
        <w:t xml:space="preserve">  Shared purchasing maximize</w:t>
      </w:r>
      <w:r w:rsidR="007005A5">
        <w:t>s</w:t>
      </w:r>
      <w:bookmarkStart w:id="0" w:name="_GoBack"/>
      <w:bookmarkEnd w:id="0"/>
      <w:r w:rsidR="00C901E5" w:rsidRPr="007005A5">
        <w:t xml:space="preserve"> purchasing power.</w:t>
      </w:r>
    </w:p>
    <w:p w:rsidR="00C901E5" w:rsidRPr="007005A5" w:rsidRDefault="00C901E5" w:rsidP="00C901E5">
      <w:pPr>
        <w:pStyle w:val="ListParagraph"/>
        <w:numPr>
          <w:ilvl w:val="0"/>
          <w:numId w:val="1"/>
        </w:numPr>
      </w:pPr>
      <w:r w:rsidRPr="007005A5">
        <w:t xml:space="preserve">First biennium:  </w:t>
      </w:r>
      <w:r w:rsidR="007005A5">
        <w:t xml:space="preserve">purchase </w:t>
      </w:r>
      <w:r w:rsidRPr="007005A5">
        <w:t>core digital resources</w:t>
      </w:r>
    </w:p>
    <w:p w:rsidR="00C901E5" w:rsidRPr="007005A5" w:rsidRDefault="00C901E5" w:rsidP="00C901E5">
      <w:pPr>
        <w:pStyle w:val="ListParagraph"/>
        <w:numPr>
          <w:ilvl w:val="0"/>
          <w:numId w:val="1"/>
        </w:numPr>
      </w:pPr>
      <w:r w:rsidRPr="007005A5">
        <w:t xml:space="preserve">Second biennium:  </w:t>
      </w:r>
      <w:r w:rsidR="007005A5">
        <w:t xml:space="preserve">purchase </w:t>
      </w:r>
      <w:r w:rsidRPr="007005A5">
        <w:t>specialty digital resources beyond core and relevant to workforce programs</w:t>
      </w:r>
    </w:p>
    <w:p w:rsidR="00C901E5" w:rsidRPr="007005A5" w:rsidRDefault="00C901E5" w:rsidP="00C901E5">
      <w:pPr>
        <w:pStyle w:val="ListParagraph"/>
        <w:numPr>
          <w:ilvl w:val="0"/>
          <w:numId w:val="1"/>
        </w:numPr>
      </w:pPr>
      <w:r w:rsidRPr="007005A5">
        <w:t xml:space="preserve">Third biennium:  </w:t>
      </w:r>
      <w:r w:rsidR="007005A5">
        <w:t>purchase</w:t>
      </w:r>
      <w:r w:rsidRPr="007005A5">
        <w:t xml:space="preserve"> “learning objects” databases to provide </w:t>
      </w:r>
      <w:r w:rsidR="007005A5">
        <w:t>multi-</w:t>
      </w:r>
      <w:r w:rsidRPr="007005A5">
        <w:t>media resources</w:t>
      </w:r>
    </w:p>
    <w:p w:rsidR="00AF2033" w:rsidRPr="007005A5" w:rsidRDefault="00AF2033" w:rsidP="00843361">
      <w:r w:rsidRPr="007005A5">
        <w:rPr>
          <w:b/>
        </w:rPr>
        <w:t xml:space="preserve">Services: </w:t>
      </w:r>
      <w:r w:rsidRPr="007005A5">
        <w:t xml:space="preserve"> Students should have access to all digital and non-digital library resources throughout the CTC system.  All students should be able to search shared and local digital and non-digital resources through a single search tool.  Similar to what is already in place among the baccalaureate institutions, students should be able to initiate requests to borrow non-digital materials from any </w:t>
      </w:r>
      <w:r w:rsidR="00C92280">
        <w:t xml:space="preserve">CTC </w:t>
      </w:r>
      <w:r w:rsidRPr="007005A5">
        <w:t>library with a fast delivery system.  Students should also have 24/7 access to online reference services to support information literacy.</w:t>
      </w:r>
    </w:p>
    <w:p w:rsidR="00C901E5" w:rsidRPr="007005A5" w:rsidRDefault="00C901E5" w:rsidP="00C901E5">
      <w:pPr>
        <w:pStyle w:val="ListParagraph"/>
        <w:numPr>
          <w:ilvl w:val="0"/>
          <w:numId w:val="2"/>
        </w:numPr>
      </w:pPr>
      <w:r w:rsidRPr="007005A5">
        <w:t xml:space="preserve">First biennium:  </w:t>
      </w:r>
      <w:r w:rsidR="00C92280">
        <w:t xml:space="preserve">purchase </w:t>
      </w:r>
      <w:r w:rsidRPr="007005A5">
        <w:t>common library catalog for all CTC libraries to facilitate access</w:t>
      </w:r>
    </w:p>
    <w:p w:rsidR="00C901E5" w:rsidRPr="007005A5" w:rsidRDefault="00C901E5" w:rsidP="00C901E5">
      <w:pPr>
        <w:pStyle w:val="ListParagraph"/>
        <w:numPr>
          <w:ilvl w:val="0"/>
          <w:numId w:val="2"/>
        </w:numPr>
      </w:pPr>
      <w:r w:rsidRPr="007005A5">
        <w:t>Second biennium:  development of stud</w:t>
      </w:r>
      <w:r w:rsidR="00C92280">
        <w:t>ent-initiated interlibrary loan and</w:t>
      </w:r>
      <w:r w:rsidRPr="007005A5">
        <w:t xml:space="preserve"> purchase license for federated searching tool for all digital and non-digital resources</w:t>
      </w:r>
    </w:p>
    <w:p w:rsidR="00C901E5" w:rsidRPr="007005A5" w:rsidRDefault="00C901E5" w:rsidP="00C901E5">
      <w:pPr>
        <w:pStyle w:val="ListParagraph"/>
        <w:numPr>
          <w:ilvl w:val="0"/>
          <w:numId w:val="2"/>
        </w:numPr>
      </w:pPr>
      <w:r w:rsidRPr="007005A5">
        <w:t xml:space="preserve">Third biennium:  fund </w:t>
      </w:r>
      <w:r w:rsidR="007005A5" w:rsidRPr="007005A5">
        <w:t xml:space="preserve">online 24/7 library reference services </w:t>
      </w:r>
    </w:p>
    <w:p w:rsidR="00AF2033" w:rsidRPr="007005A5" w:rsidRDefault="00AF2033" w:rsidP="00843361">
      <w:r w:rsidRPr="007005A5">
        <w:rPr>
          <w:b/>
        </w:rPr>
        <w:t xml:space="preserve">Instruction:  </w:t>
      </w:r>
      <w:r w:rsidRPr="007005A5">
        <w:t>Information literacy is an essential skill for</w:t>
      </w:r>
      <w:r w:rsidR="009F4418">
        <w:t xml:space="preserve"> students in </w:t>
      </w:r>
      <w:r w:rsidRPr="007005A5">
        <w:t xml:space="preserve">the information age.  Information literacy instruction should be incorporated throughout the curriculum and available in a variety of formats consistent with the needs of the disciplines and </w:t>
      </w:r>
      <w:r w:rsidR="00C901E5" w:rsidRPr="007005A5">
        <w:t>expectations</w:t>
      </w:r>
      <w:r w:rsidRPr="007005A5">
        <w:t xml:space="preserve"> of baccalaureate institutions and employers.</w:t>
      </w:r>
    </w:p>
    <w:p w:rsidR="007005A5" w:rsidRPr="007005A5" w:rsidRDefault="007005A5" w:rsidP="007005A5">
      <w:pPr>
        <w:pStyle w:val="ListParagraph"/>
        <w:numPr>
          <w:ilvl w:val="0"/>
          <w:numId w:val="3"/>
        </w:numPr>
      </w:pPr>
      <w:r w:rsidRPr="007005A5">
        <w:t xml:space="preserve">First biennium: </w:t>
      </w:r>
      <w:r w:rsidR="00C92280">
        <w:t xml:space="preserve">initiate </w:t>
      </w:r>
      <w:r w:rsidRPr="007005A5">
        <w:t>Washington Center project of information literacy across the curriculum</w:t>
      </w:r>
    </w:p>
    <w:p w:rsidR="007005A5" w:rsidRPr="007005A5" w:rsidRDefault="007005A5" w:rsidP="007005A5">
      <w:pPr>
        <w:pStyle w:val="ListParagraph"/>
        <w:numPr>
          <w:ilvl w:val="0"/>
          <w:numId w:val="3"/>
        </w:numPr>
      </w:pPr>
      <w:r w:rsidRPr="007005A5">
        <w:t>Second biennium:  purchase of digital tools to support 24/7 i</w:t>
      </w:r>
      <w:r w:rsidR="00C92280">
        <w:t>nformation literacy instruction</w:t>
      </w:r>
      <w:r w:rsidRPr="007005A5">
        <w:t>, fund tools for assessing information competencies, fund articulation work with K-12</w:t>
      </w:r>
    </w:p>
    <w:p w:rsidR="00843361" w:rsidRPr="00C92280" w:rsidRDefault="007005A5" w:rsidP="0084336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05A5">
        <w:t>Third biennium:  Evaluate assessment tools developed in previous biennium.</w:t>
      </w:r>
    </w:p>
    <w:p w:rsidR="00843361" w:rsidRPr="00843361" w:rsidRDefault="00843361" w:rsidP="00843361">
      <w:pPr>
        <w:rPr>
          <w:sz w:val="24"/>
          <w:szCs w:val="24"/>
        </w:rPr>
      </w:pPr>
    </w:p>
    <w:sectPr w:rsidR="00843361" w:rsidRPr="00843361" w:rsidSect="008F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C54"/>
    <w:multiLevelType w:val="hybridMultilevel"/>
    <w:tmpl w:val="78F2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6C43"/>
    <w:multiLevelType w:val="hybridMultilevel"/>
    <w:tmpl w:val="12C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519B"/>
    <w:multiLevelType w:val="hybridMultilevel"/>
    <w:tmpl w:val="E520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1"/>
    <w:rsid w:val="00116C64"/>
    <w:rsid w:val="007005A5"/>
    <w:rsid w:val="00743387"/>
    <w:rsid w:val="00843361"/>
    <w:rsid w:val="008F1A66"/>
    <w:rsid w:val="009F4418"/>
    <w:rsid w:val="00A8229D"/>
    <w:rsid w:val="00AF2033"/>
    <w:rsid w:val="00AF6CAF"/>
    <w:rsid w:val="00C255D3"/>
    <w:rsid w:val="00C901E5"/>
    <w:rsid w:val="00C9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8096B-260B-411E-8EB9-A3037D50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Mindy.Coslor</dc:creator>
  <cp:keywords/>
  <dc:description/>
  <cp:lastModifiedBy>Mindy Coslor</cp:lastModifiedBy>
  <cp:revision>2</cp:revision>
  <dcterms:created xsi:type="dcterms:W3CDTF">2017-04-21T17:35:00Z</dcterms:created>
  <dcterms:modified xsi:type="dcterms:W3CDTF">2017-04-21T17:35:00Z</dcterms:modified>
</cp:coreProperties>
</file>