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F" w:rsidRPr="00776B06" w:rsidRDefault="0038001F" w:rsidP="006561C2">
      <w:pPr>
        <w:tabs>
          <w:tab w:val="left" w:pos="5055"/>
        </w:tabs>
        <w:rPr>
          <w:noProof/>
          <w:sz w:val="22"/>
          <w:szCs w:val="22"/>
          <w:lang w:eastAsia="zh-TW"/>
        </w:rPr>
      </w:pPr>
    </w:p>
    <w:p w:rsidR="00FB2D5C" w:rsidRDefault="00FB2D5C" w:rsidP="00FB2D5C">
      <w:pPr>
        <w:pStyle w:val="Heading1"/>
        <w:rPr>
          <w:noProof/>
          <w:lang w:eastAsia="zh-TW"/>
        </w:rPr>
      </w:pPr>
      <w:r>
        <w:rPr>
          <w:noProof/>
          <w:lang w:eastAsia="zh-TW"/>
        </w:rPr>
        <w:t>Executive Summary</w:t>
      </w:r>
    </w:p>
    <w:p w:rsidR="00FB2D5C" w:rsidRDefault="00FB2D5C" w:rsidP="00776B06">
      <w:pPr>
        <w:ind w:right="202"/>
        <w:rPr>
          <w:noProof/>
          <w:sz w:val="22"/>
          <w:szCs w:val="22"/>
          <w:lang w:eastAsia="zh-TW"/>
        </w:rPr>
      </w:pPr>
    </w:p>
    <w:p w:rsidR="00776B06" w:rsidRDefault="00371DFA" w:rsidP="00776B06">
      <w:pPr>
        <w:ind w:right="202"/>
        <w:rPr>
          <w:noProof/>
          <w:sz w:val="22"/>
          <w:szCs w:val="22"/>
          <w:lang w:eastAsia="zh-TW"/>
        </w:rPr>
      </w:pPr>
      <w:r w:rsidRPr="00371DFA">
        <w:rPr>
          <w:noProof/>
          <w:sz w:val="22"/>
          <w:szCs w:val="22"/>
          <w:lang w:eastAsia="zh-TW"/>
        </w:rPr>
        <w:t>In fall 2016, colleges enrolled 162,352 full-time equivalent students (FTES) in all fund categories, down 1 percent (-2,448 FTES) from fall 2015.</w:t>
      </w:r>
    </w:p>
    <w:p w:rsidR="00776B06" w:rsidRPr="00776B06" w:rsidRDefault="00776B06" w:rsidP="00776B06">
      <w:pPr>
        <w:ind w:right="202"/>
        <w:rPr>
          <w:noProof/>
          <w:sz w:val="22"/>
          <w:szCs w:val="22"/>
          <w:lang w:eastAsia="zh-TW"/>
        </w:rPr>
      </w:pPr>
    </w:p>
    <w:p w:rsidR="00776B06" w:rsidRPr="002B28AA" w:rsidRDefault="00F95C61" w:rsidP="00776B06">
      <w:pPr>
        <w:ind w:right="202"/>
        <w:rPr>
          <w:noProof/>
          <w:sz w:val="22"/>
          <w:szCs w:val="22"/>
          <w:lang w:eastAsia="zh-TW"/>
        </w:rPr>
      </w:pPr>
      <w:r w:rsidRPr="00FB51A9">
        <w:rPr>
          <w:noProof/>
          <w:sz w:val="22"/>
          <w:szCs w:val="22"/>
          <w:lang w:eastAsia="zh-TW"/>
        </w:rPr>
        <w:t xml:space="preserve">The system is projected to end the year above the appropriation of </w:t>
      </w:r>
      <w:r w:rsidR="002B28AA" w:rsidRPr="00FB51A9">
        <w:rPr>
          <w:noProof/>
          <w:sz w:val="22"/>
          <w:szCs w:val="22"/>
          <w:lang w:eastAsia="zh-TW"/>
        </w:rPr>
        <w:t>151,485 FTES</w:t>
      </w:r>
      <w:r w:rsidRPr="00FB51A9">
        <w:rPr>
          <w:noProof/>
          <w:sz w:val="22"/>
          <w:szCs w:val="22"/>
          <w:lang w:eastAsia="zh-TW"/>
        </w:rPr>
        <w:t xml:space="preserve"> for state-supported enrollments (139,927 FTES) and Runnin</w:t>
      </w:r>
      <w:r w:rsidR="00CF3571">
        <w:rPr>
          <w:noProof/>
          <w:sz w:val="22"/>
          <w:szCs w:val="22"/>
          <w:lang w:eastAsia="zh-TW"/>
        </w:rPr>
        <w:t>g Start enrollments (11,558 FTES), with a year-end estimate of 152,874 FTES (1 percent, 1,389 FTES above appropriation)</w:t>
      </w:r>
      <w:r w:rsidRPr="00FB51A9">
        <w:rPr>
          <w:noProof/>
          <w:sz w:val="22"/>
          <w:szCs w:val="22"/>
          <w:lang w:eastAsia="zh-TW"/>
        </w:rPr>
        <w:t>.</w:t>
      </w:r>
      <w:bookmarkStart w:id="0" w:name="_GoBack"/>
      <w:bookmarkEnd w:id="0"/>
      <w:r w:rsidRPr="00FB51A9">
        <w:rPr>
          <w:noProof/>
          <w:sz w:val="22"/>
          <w:szCs w:val="22"/>
          <w:lang w:eastAsia="zh-TW"/>
        </w:rPr>
        <w:t xml:space="preserve"> As more families use dual credit options to reduce the cost of going to college, this is represented by a growing number of Running Start enrollments </w:t>
      </w:r>
      <w:r w:rsidR="002B28AA" w:rsidRPr="00FB51A9">
        <w:rPr>
          <w:noProof/>
          <w:sz w:val="22"/>
          <w:szCs w:val="22"/>
          <w:lang w:eastAsia="zh-TW"/>
        </w:rPr>
        <w:t>(up 10 percent, 1,974 FTES</w:t>
      </w:r>
      <w:r w:rsidR="008872B6" w:rsidRPr="00FB51A9">
        <w:rPr>
          <w:noProof/>
          <w:sz w:val="22"/>
          <w:szCs w:val="22"/>
          <w:lang w:eastAsia="zh-TW"/>
        </w:rPr>
        <w:t xml:space="preserve"> from fall 2015</w:t>
      </w:r>
      <w:r w:rsidR="002B28AA" w:rsidRPr="00FB51A9">
        <w:rPr>
          <w:noProof/>
          <w:sz w:val="22"/>
          <w:szCs w:val="22"/>
          <w:lang w:eastAsia="zh-TW"/>
        </w:rPr>
        <w:t xml:space="preserve">) </w:t>
      </w:r>
      <w:r w:rsidRPr="00FB51A9">
        <w:rPr>
          <w:noProof/>
          <w:sz w:val="22"/>
          <w:szCs w:val="22"/>
          <w:lang w:eastAsia="zh-TW"/>
        </w:rPr>
        <w:t>and a declining number of state-supported</w:t>
      </w:r>
      <w:r w:rsidR="002B28AA" w:rsidRPr="00FB51A9">
        <w:rPr>
          <w:noProof/>
          <w:sz w:val="22"/>
          <w:szCs w:val="22"/>
          <w:lang w:eastAsia="zh-TW"/>
        </w:rPr>
        <w:t xml:space="preserve"> </w:t>
      </w:r>
      <w:r w:rsidRPr="00FB51A9">
        <w:rPr>
          <w:noProof/>
          <w:sz w:val="22"/>
          <w:szCs w:val="22"/>
          <w:lang w:eastAsia="zh-TW"/>
        </w:rPr>
        <w:t xml:space="preserve">enrollments </w:t>
      </w:r>
      <w:r w:rsidR="002B28AA" w:rsidRPr="00FB51A9">
        <w:rPr>
          <w:noProof/>
          <w:sz w:val="22"/>
          <w:szCs w:val="22"/>
          <w:lang w:eastAsia="zh-TW"/>
        </w:rPr>
        <w:t>(</w:t>
      </w:r>
      <w:r w:rsidR="00371DFA" w:rsidRPr="00FB51A9">
        <w:rPr>
          <w:noProof/>
          <w:sz w:val="22"/>
          <w:szCs w:val="22"/>
          <w:lang w:eastAsia="zh-TW"/>
        </w:rPr>
        <w:t>down 3 percent</w:t>
      </w:r>
      <w:r w:rsidR="002B28AA" w:rsidRPr="00FB51A9">
        <w:rPr>
          <w:noProof/>
          <w:sz w:val="22"/>
          <w:szCs w:val="22"/>
          <w:lang w:eastAsia="zh-TW"/>
        </w:rPr>
        <w:t>,</w:t>
      </w:r>
      <w:r w:rsidR="00371DFA" w:rsidRPr="00FB51A9">
        <w:rPr>
          <w:noProof/>
          <w:sz w:val="22"/>
          <w:szCs w:val="22"/>
          <w:lang w:eastAsia="zh-TW"/>
        </w:rPr>
        <w:t xml:space="preserve"> -4,170 FTES</w:t>
      </w:r>
      <w:r w:rsidR="008872B6" w:rsidRPr="00FB51A9">
        <w:rPr>
          <w:noProof/>
          <w:sz w:val="22"/>
          <w:szCs w:val="22"/>
          <w:lang w:eastAsia="zh-TW"/>
        </w:rPr>
        <w:t xml:space="preserve"> from fall 2015</w:t>
      </w:r>
      <w:r w:rsidR="00371DFA" w:rsidRPr="00FB51A9">
        <w:rPr>
          <w:noProof/>
          <w:sz w:val="22"/>
          <w:szCs w:val="22"/>
          <w:lang w:eastAsia="zh-TW"/>
        </w:rPr>
        <w:t xml:space="preserve">). </w:t>
      </w:r>
      <w:r w:rsidR="002B28AA" w:rsidRPr="00FB51A9">
        <w:rPr>
          <w:noProof/>
          <w:sz w:val="22"/>
          <w:szCs w:val="22"/>
          <w:lang w:eastAsia="zh-TW"/>
        </w:rPr>
        <w:t xml:space="preserve">This shift in the way the colleges are serving young adult students is also reflected in a growing number of students under age 20 and </w:t>
      </w:r>
      <w:r w:rsidR="008872B6" w:rsidRPr="00FB51A9">
        <w:rPr>
          <w:noProof/>
          <w:sz w:val="22"/>
          <w:szCs w:val="22"/>
          <w:lang w:eastAsia="zh-TW"/>
        </w:rPr>
        <w:t xml:space="preserve">a </w:t>
      </w:r>
      <w:r w:rsidR="002B28AA" w:rsidRPr="00FB51A9">
        <w:rPr>
          <w:noProof/>
          <w:sz w:val="22"/>
          <w:szCs w:val="22"/>
          <w:lang w:eastAsia="zh-TW"/>
        </w:rPr>
        <w:t>drop in the number of students age 20 - 24.</w:t>
      </w:r>
    </w:p>
    <w:p w:rsidR="00776B06" w:rsidRPr="00776B06" w:rsidRDefault="00776B06" w:rsidP="00776B06">
      <w:pPr>
        <w:ind w:right="202"/>
        <w:rPr>
          <w:noProof/>
          <w:sz w:val="22"/>
          <w:szCs w:val="22"/>
          <w:lang w:eastAsia="zh-TW"/>
        </w:rPr>
      </w:pPr>
    </w:p>
    <w:p w:rsidR="00776B06" w:rsidRPr="00776B06" w:rsidRDefault="00371DFA" w:rsidP="00776B06">
      <w:pPr>
        <w:ind w:right="202"/>
        <w:rPr>
          <w:noProof/>
          <w:sz w:val="22"/>
          <w:szCs w:val="22"/>
          <w:lang w:eastAsia="zh-TW"/>
        </w:rPr>
      </w:pPr>
      <w:r w:rsidRPr="00371DFA">
        <w:rPr>
          <w:noProof/>
          <w:sz w:val="22"/>
          <w:szCs w:val="22"/>
          <w:lang w:eastAsia="zh-TW"/>
        </w:rPr>
        <w:t xml:space="preserve">Colleges enrolled 38,547 contract funded FTES, up 8 percent (2,795 FTES) from fall 2015.  The increase in contract funded FTES </w:t>
      </w:r>
      <w:r w:rsidR="003F7F53">
        <w:rPr>
          <w:noProof/>
          <w:sz w:val="22"/>
          <w:szCs w:val="22"/>
          <w:lang w:eastAsia="zh-TW"/>
        </w:rPr>
        <w:t xml:space="preserve">is </w:t>
      </w:r>
      <w:r w:rsidRPr="00371DFA">
        <w:rPr>
          <w:noProof/>
          <w:sz w:val="22"/>
          <w:szCs w:val="22"/>
          <w:lang w:eastAsia="zh-TW"/>
        </w:rPr>
        <w:t xml:space="preserve">primarily </w:t>
      </w:r>
      <w:r w:rsidR="003F7F53">
        <w:rPr>
          <w:noProof/>
          <w:sz w:val="22"/>
          <w:szCs w:val="22"/>
          <w:lang w:eastAsia="zh-TW"/>
        </w:rPr>
        <w:t>due to</w:t>
      </w:r>
      <w:r w:rsidR="002B28AA">
        <w:rPr>
          <w:noProof/>
          <w:sz w:val="22"/>
          <w:szCs w:val="22"/>
          <w:lang w:eastAsia="zh-TW"/>
        </w:rPr>
        <w:t xml:space="preserve"> the</w:t>
      </w:r>
      <w:r w:rsidRPr="00371DFA">
        <w:rPr>
          <w:noProof/>
          <w:sz w:val="22"/>
          <w:szCs w:val="22"/>
          <w:lang w:eastAsia="zh-TW"/>
        </w:rPr>
        <w:t xml:space="preserve"> increase in Running Start FTES, which makes up just over half of all contract funded enrollments, a</w:t>
      </w:r>
      <w:r w:rsidR="002B28AA">
        <w:rPr>
          <w:noProof/>
          <w:sz w:val="22"/>
          <w:szCs w:val="22"/>
          <w:lang w:eastAsia="zh-TW"/>
        </w:rPr>
        <w:t>s well as</w:t>
      </w:r>
      <w:r w:rsidRPr="00371DFA">
        <w:rPr>
          <w:noProof/>
          <w:sz w:val="22"/>
          <w:szCs w:val="22"/>
          <w:lang w:eastAsia="zh-TW"/>
        </w:rPr>
        <w:t xml:space="preserve"> an increase in the number of international </w:t>
      </w:r>
      <w:r w:rsidR="003F7F53">
        <w:rPr>
          <w:noProof/>
          <w:sz w:val="22"/>
          <w:szCs w:val="22"/>
          <w:lang w:eastAsia="zh-TW"/>
        </w:rPr>
        <w:t>contract enrollments.  The rise in international contract enrollments corresponds with a drop state-supported international student enrollments</w:t>
      </w:r>
      <w:r w:rsidRPr="00371DFA">
        <w:rPr>
          <w:noProof/>
          <w:sz w:val="22"/>
          <w:szCs w:val="22"/>
          <w:lang w:eastAsia="zh-TW"/>
        </w:rPr>
        <w:t xml:space="preserve"> due to the new rule limiting the number of international student enrollment</w:t>
      </w:r>
      <w:r w:rsidR="003F7F53">
        <w:rPr>
          <w:noProof/>
          <w:sz w:val="22"/>
          <w:szCs w:val="22"/>
          <w:lang w:eastAsia="zh-TW"/>
        </w:rPr>
        <w:t>s that can be counted</w:t>
      </w:r>
      <w:r w:rsidRPr="00371DFA">
        <w:rPr>
          <w:noProof/>
          <w:sz w:val="22"/>
          <w:szCs w:val="22"/>
          <w:lang w:eastAsia="zh-TW"/>
        </w:rPr>
        <w:t xml:space="preserve"> </w:t>
      </w:r>
      <w:r w:rsidR="003F7F53">
        <w:rPr>
          <w:noProof/>
          <w:sz w:val="22"/>
          <w:szCs w:val="22"/>
          <w:lang w:eastAsia="zh-TW"/>
        </w:rPr>
        <w:t>towards state allocation</w:t>
      </w:r>
      <w:r w:rsidRPr="00371DFA">
        <w:rPr>
          <w:noProof/>
          <w:sz w:val="22"/>
          <w:szCs w:val="22"/>
          <w:lang w:eastAsia="zh-TW"/>
        </w:rPr>
        <w:t>.</w:t>
      </w:r>
    </w:p>
    <w:p w:rsidR="00776B06" w:rsidRDefault="00776B06" w:rsidP="00776B06">
      <w:pPr>
        <w:ind w:right="202"/>
        <w:rPr>
          <w:noProof/>
          <w:sz w:val="22"/>
          <w:szCs w:val="22"/>
          <w:lang w:eastAsia="zh-TW"/>
        </w:rPr>
      </w:pPr>
    </w:p>
    <w:p w:rsidR="00776B06" w:rsidRPr="00776B06" w:rsidRDefault="00776B06" w:rsidP="00776B06">
      <w:pPr>
        <w:ind w:right="202"/>
        <w:rPr>
          <w:noProof/>
          <w:sz w:val="22"/>
          <w:szCs w:val="22"/>
          <w:lang w:eastAsia="zh-TW"/>
        </w:rPr>
      </w:pPr>
      <w:r w:rsidRPr="00776B06">
        <w:rPr>
          <w:noProof/>
          <w:sz w:val="22"/>
          <w:szCs w:val="22"/>
          <w:lang w:eastAsia="zh-TW"/>
        </w:rPr>
        <w:t>Enrollments were up for:</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Apprenticeship: 3,382 FTES, up 15 percent (447 FTES)</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BAS: 2,043 FTES from 24 colleges offering 54 programs, up 43 percent (614 FTES)</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eLearning: 42,239 FTES, up 6 percent (2,500 FTES)</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I-BEST: 2,584 FTES, up 5 percent (129 FTES)</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International Contract: 7,754 FTES, up 20 percent (1,309 FTES)</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Running Start: 20,807 FTES, up 10 percent (1,974 FTES)</w:t>
      </w:r>
    </w:p>
    <w:p w:rsidR="00776B06" w:rsidRP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Worker Retraining: 6,173</w:t>
      </w:r>
      <w:r w:rsidRPr="00DC0F21">
        <w:rPr>
          <w:rFonts w:ascii="Times New Roman" w:hAnsi="Times New Roman"/>
          <w:noProof/>
          <w:lang w:eastAsia="zh-TW"/>
        </w:rPr>
        <w:t xml:space="preserve"> FTES</w:t>
      </w:r>
      <w:r>
        <w:rPr>
          <w:rFonts w:ascii="Times New Roman" w:hAnsi="Times New Roman"/>
          <w:noProof/>
          <w:lang w:eastAsia="zh-TW"/>
        </w:rPr>
        <w:t>, up 1 percent (51 FTES)</w:t>
      </w:r>
    </w:p>
    <w:p w:rsidR="00776B06" w:rsidRPr="00776B06" w:rsidRDefault="00776B06" w:rsidP="00776B06">
      <w:pPr>
        <w:ind w:right="202"/>
        <w:rPr>
          <w:noProof/>
          <w:sz w:val="22"/>
          <w:szCs w:val="22"/>
          <w:lang w:eastAsia="zh-TW"/>
        </w:rPr>
      </w:pPr>
      <w:r w:rsidRPr="00776B06">
        <w:rPr>
          <w:noProof/>
          <w:sz w:val="22"/>
          <w:szCs w:val="22"/>
          <w:lang w:eastAsia="zh-TW"/>
        </w:rPr>
        <w:t>Enrollments were down for:</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Basic Education for Adults: 17,093 FTES, down 4 percent (-731 FTES)</w:t>
      </w:r>
    </w:p>
    <w:p w:rsidR="00371DFA" w:rsidRDefault="00371DFA" w:rsidP="00371DFA">
      <w:pPr>
        <w:pStyle w:val="ListParagraph"/>
        <w:numPr>
          <w:ilvl w:val="0"/>
          <w:numId w:val="23"/>
        </w:numPr>
        <w:ind w:right="202"/>
        <w:rPr>
          <w:rFonts w:ascii="Times New Roman" w:hAnsi="Times New Roman"/>
          <w:noProof/>
          <w:lang w:eastAsia="zh-TW"/>
        </w:rPr>
      </w:pPr>
      <w:r>
        <w:rPr>
          <w:rFonts w:ascii="Times New Roman" w:hAnsi="Times New Roman"/>
          <w:noProof/>
          <w:lang w:eastAsia="zh-TW"/>
        </w:rPr>
        <w:t>International</w:t>
      </w:r>
      <w:r w:rsidR="0030029D">
        <w:rPr>
          <w:rFonts w:ascii="Times New Roman" w:hAnsi="Times New Roman"/>
          <w:noProof/>
          <w:lang w:eastAsia="zh-TW"/>
        </w:rPr>
        <w:t xml:space="preserve"> </w:t>
      </w:r>
      <w:r w:rsidR="002B28AA">
        <w:rPr>
          <w:rFonts w:ascii="Times New Roman" w:hAnsi="Times New Roman"/>
          <w:noProof/>
          <w:lang w:eastAsia="zh-TW"/>
        </w:rPr>
        <w:t>students</w:t>
      </w:r>
      <w:r>
        <w:rPr>
          <w:rFonts w:ascii="Times New Roman" w:hAnsi="Times New Roman"/>
          <w:noProof/>
          <w:lang w:eastAsia="zh-TW"/>
        </w:rPr>
        <w:t xml:space="preserve"> (All Funds): 12,494 FTES, down 6 percent (-771 FTES)</w:t>
      </w:r>
    </w:p>
    <w:p w:rsidR="00776B06" w:rsidRPr="00776B06" w:rsidRDefault="00371DFA" w:rsidP="00371DFA">
      <w:pPr>
        <w:pStyle w:val="ListParagraph"/>
        <w:numPr>
          <w:ilvl w:val="0"/>
          <w:numId w:val="23"/>
        </w:numPr>
        <w:ind w:right="202"/>
        <w:rPr>
          <w:rFonts w:ascii="Times New Roman" w:hAnsi="Times New Roman"/>
          <w:noProof/>
          <w:lang w:eastAsia="zh-TW"/>
        </w:rPr>
      </w:pPr>
      <w:r w:rsidRPr="004A318C">
        <w:rPr>
          <w:rFonts w:ascii="Times New Roman" w:hAnsi="Times New Roman"/>
          <w:noProof/>
          <w:lang w:eastAsia="zh-TW"/>
        </w:rPr>
        <w:t>Workfirst: 2,</w:t>
      </w:r>
      <w:r>
        <w:rPr>
          <w:rFonts w:ascii="Times New Roman" w:hAnsi="Times New Roman"/>
          <w:noProof/>
          <w:lang w:eastAsia="zh-TW"/>
        </w:rPr>
        <w:t>079</w:t>
      </w:r>
      <w:r w:rsidRPr="004A318C">
        <w:rPr>
          <w:rFonts w:ascii="Times New Roman" w:hAnsi="Times New Roman"/>
          <w:noProof/>
          <w:lang w:eastAsia="zh-TW"/>
        </w:rPr>
        <w:t xml:space="preserve"> FTES, down 1</w:t>
      </w:r>
      <w:r>
        <w:rPr>
          <w:rFonts w:ascii="Times New Roman" w:hAnsi="Times New Roman"/>
          <w:noProof/>
          <w:lang w:eastAsia="zh-TW"/>
        </w:rPr>
        <w:t>4</w:t>
      </w:r>
      <w:r w:rsidRPr="004A318C">
        <w:rPr>
          <w:rFonts w:ascii="Times New Roman" w:hAnsi="Times New Roman"/>
          <w:noProof/>
          <w:lang w:eastAsia="zh-TW"/>
        </w:rPr>
        <w:t xml:space="preserve"> percent (-</w:t>
      </w:r>
      <w:r>
        <w:rPr>
          <w:rFonts w:ascii="Times New Roman" w:hAnsi="Times New Roman"/>
          <w:noProof/>
          <w:lang w:eastAsia="zh-TW"/>
        </w:rPr>
        <w:t>344</w:t>
      </w:r>
      <w:r w:rsidRPr="004A318C">
        <w:rPr>
          <w:rFonts w:ascii="Times New Roman" w:hAnsi="Times New Roman"/>
          <w:noProof/>
          <w:lang w:eastAsia="zh-TW"/>
        </w:rPr>
        <w:t xml:space="preserve"> FTES)</w:t>
      </w:r>
      <w:r w:rsidR="00776B06" w:rsidRPr="00776B06">
        <w:rPr>
          <w:rFonts w:ascii="Times New Roman" w:hAnsi="Times New Roman"/>
          <w:noProof/>
          <w:lang w:eastAsia="zh-TW"/>
        </w:rPr>
        <w:t xml:space="preserve"> </w:t>
      </w:r>
    </w:p>
    <w:p w:rsidR="00CC0A42" w:rsidRPr="00FB2D5C" w:rsidRDefault="00CC0A42" w:rsidP="00FB2D5C">
      <w:pPr>
        <w:pStyle w:val="Heading1"/>
      </w:pPr>
      <w:r w:rsidRPr="00FB2D5C">
        <w:lastRenderedPageBreak/>
        <w:t>Enrollment by Funding Source</w:t>
      </w:r>
    </w:p>
    <w:p w:rsidR="00CC0A42" w:rsidRPr="009D6E1A" w:rsidRDefault="00CC0A42" w:rsidP="00CC0A42">
      <w:pPr>
        <w:ind w:right="-360"/>
        <w:rPr>
          <w:noProof/>
          <w:sz w:val="16"/>
          <w:szCs w:val="16"/>
          <w:lang w:eastAsia="zh-TW"/>
        </w:rPr>
      </w:pPr>
    </w:p>
    <w:p w:rsidR="00CC0A42" w:rsidRDefault="009D6E1A" w:rsidP="00A26BDF">
      <w:pPr>
        <w:pStyle w:val="ListParagraph"/>
        <w:numPr>
          <w:ilvl w:val="4"/>
          <w:numId w:val="1"/>
        </w:numPr>
        <w:spacing w:after="0" w:line="240" w:lineRule="auto"/>
        <w:ind w:right="-360"/>
        <w:rPr>
          <w:rFonts w:ascii="Times New Roman" w:eastAsia="Times New Roman" w:hAnsi="Times New Roman"/>
          <w:noProof/>
          <w:lang w:eastAsia="zh-TW"/>
        </w:rPr>
      </w:pPr>
      <w:r>
        <w:rPr>
          <w:rFonts w:ascii="Times New Roman" w:eastAsia="Times New Roman" w:hAnsi="Times New Roman"/>
          <w:noProof/>
          <w:lang w:eastAsia="zh-TW"/>
        </w:rPr>
        <w:t>1</w:t>
      </w:r>
      <w:r w:rsidR="006A495F">
        <w:rPr>
          <w:rFonts w:ascii="Times New Roman" w:eastAsia="Times New Roman" w:hAnsi="Times New Roman"/>
          <w:noProof/>
          <w:lang w:eastAsia="zh-TW"/>
        </w:rPr>
        <w:t>19</w:t>
      </w:r>
      <w:r>
        <w:rPr>
          <w:rFonts w:ascii="Times New Roman" w:eastAsia="Times New Roman" w:hAnsi="Times New Roman"/>
          <w:noProof/>
          <w:lang w:eastAsia="zh-TW"/>
        </w:rPr>
        <w:t>,</w:t>
      </w:r>
      <w:r w:rsidR="006A495F">
        <w:rPr>
          <w:rFonts w:ascii="Times New Roman" w:eastAsia="Times New Roman" w:hAnsi="Times New Roman"/>
          <w:noProof/>
          <w:lang w:eastAsia="zh-TW"/>
        </w:rPr>
        <w:t>348</w:t>
      </w:r>
      <w:r>
        <w:rPr>
          <w:rFonts w:ascii="Times New Roman" w:eastAsia="Times New Roman" w:hAnsi="Times New Roman"/>
          <w:noProof/>
          <w:lang w:eastAsia="zh-TW"/>
        </w:rPr>
        <w:t xml:space="preserve"> state-support FTES were served in fa</w:t>
      </w:r>
      <w:r w:rsidR="00CC0A42" w:rsidRPr="009D6E1A">
        <w:rPr>
          <w:rFonts w:ascii="Times New Roman" w:eastAsia="Times New Roman" w:hAnsi="Times New Roman"/>
          <w:noProof/>
          <w:lang w:eastAsia="zh-TW"/>
        </w:rPr>
        <w:t>ll 201</w:t>
      </w:r>
      <w:r w:rsidR="006A495F">
        <w:rPr>
          <w:rFonts w:ascii="Times New Roman" w:eastAsia="Times New Roman" w:hAnsi="Times New Roman"/>
          <w:noProof/>
          <w:lang w:eastAsia="zh-TW"/>
        </w:rPr>
        <w:t>6</w:t>
      </w:r>
      <w:r w:rsidR="00CC0A42" w:rsidRPr="009D6E1A">
        <w:rPr>
          <w:rFonts w:ascii="Times New Roman" w:eastAsia="Times New Roman" w:hAnsi="Times New Roman"/>
          <w:noProof/>
          <w:lang w:eastAsia="zh-TW"/>
        </w:rPr>
        <w:t xml:space="preserve">, a </w:t>
      </w:r>
      <w:r w:rsidR="006A495F">
        <w:rPr>
          <w:rFonts w:ascii="Times New Roman" w:eastAsia="Times New Roman" w:hAnsi="Times New Roman"/>
          <w:noProof/>
          <w:lang w:eastAsia="zh-TW"/>
        </w:rPr>
        <w:t>3</w:t>
      </w:r>
      <w:r w:rsidR="00B4095F" w:rsidRPr="009D6E1A">
        <w:rPr>
          <w:rFonts w:ascii="Times New Roman" w:eastAsia="Times New Roman" w:hAnsi="Times New Roman"/>
          <w:noProof/>
          <w:lang w:eastAsia="zh-TW"/>
        </w:rPr>
        <w:t xml:space="preserve"> percent</w:t>
      </w:r>
      <w:r w:rsidR="00CC0A42" w:rsidRPr="009D6E1A">
        <w:rPr>
          <w:rFonts w:ascii="Times New Roman" w:eastAsia="Times New Roman" w:hAnsi="Times New Roman"/>
          <w:noProof/>
          <w:lang w:eastAsia="zh-TW"/>
        </w:rPr>
        <w:t xml:space="preserve"> decline </w:t>
      </w:r>
      <w:r>
        <w:rPr>
          <w:rFonts w:ascii="Times New Roman" w:eastAsia="Times New Roman" w:hAnsi="Times New Roman"/>
          <w:noProof/>
          <w:lang w:eastAsia="zh-TW"/>
        </w:rPr>
        <w:t>(-</w:t>
      </w:r>
      <w:r w:rsidR="006A495F">
        <w:rPr>
          <w:rFonts w:ascii="Times New Roman" w:eastAsia="Times New Roman" w:hAnsi="Times New Roman"/>
          <w:noProof/>
          <w:lang w:eastAsia="zh-TW"/>
        </w:rPr>
        <w:t>4,170</w:t>
      </w:r>
      <w:r>
        <w:rPr>
          <w:rFonts w:ascii="Times New Roman" w:eastAsia="Times New Roman" w:hAnsi="Times New Roman"/>
          <w:noProof/>
          <w:lang w:eastAsia="zh-TW"/>
        </w:rPr>
        <w:t xml:space="preserve"> FTES) </w:t>
      </w:r>
      <w:r w:rsidR="00CC0A42" w:rsidRPr="009D6E1A">
        <w:rPr>
          <w:rFonts w:ascii="Times New Roman" w:eastAsia="Times New Roman" w:hAnsi="Times New Roman"/>
          <w:noProof/>
          <w:lang w:eastAsia="zh-TW"/>
        </w:rPr>
        <w:t>from fall 201</w:t>
      </w:r>
      <w:r w:rsidR="006A495F">
        <w:rPr>
          <w:rFonts w:ascii="Times New Roman" w:eastAsia="Times New Roman" w:hAnsi="Times New Roman"/>
          <w:noProof/>
          <w:lang w:eastAsia="zh-TW"/>
        </w:rPr>
        <w:t>5</w:t>
      </w:r>
      <w:r w:rsidR="00CC0A42" w:rsidRPr="009D6E1A">
        <w:rPr>
          <w:rFonts w:ascii="Times New Roman" w:eastAsia="Times New Roman" w:hAnsi="Times New Roman"/>
          <w:noProof/>
          <w:lang w:eastAsia="zh-TW"/>
        </w:rPr>
        <w:t>. State-supported enrollments accounted for 7</w:t>
      </w:r>
      <w:r w:rsidR="006A495F">
        <w:rPr>
          <w:rFonts w:ascii="Times New Roman" w:eastAsia="Times New Roman" w:hAnsi="Times New Roman"/>
          <w:noProof/>
          <w:lang w:eastAsia="zh-TW"/>
        </w:rPr>
        <w:t>4</w:t>
      </w:r>
      <w:r w:rsidR="00B4095F" w:rsidRPr="009D6E1A">
        <w:rPr>
          <w:rFonts w:ascii="Times New Roman" w:eastAsia="Times New Roman" w:hAnsi="Times New Roman"/>
          <w:noProof/>
          <w:lang w:eastAsia="zh-TW"/>
        </w:rPr>
        <w:t xml:space="preserve"> percent</w:t>
      </w:r>
      <w:r w:rsidR="00CC0A42" w:rsidRPr="009D6E1A">
        <w:rPr>
          <w:rFonts w:ascii="Times New Roman" w:eastAsia="Times New Roman" w:hAnsi="Times New Roman"/>
          <w:noProof/>
          <w:lang w:eastAsia="zh-TW"/>
        </w:rPr>
        <w:t xml:space="preserve"> of total FTES, a slight decline from 7</w:t>
      </w:r>
      <w:r w:rsidR="006A495F">
        <w:rPr>
          <w:rFonts w:ascii="Times New Roman" w:eastAsia="Times New Roman" w:hAnsi="Times New Roman"/>
          <w:noProof/>
          <w:lang w:eastAsia="zh-TW"/>
        </w:rPr>
        <w:t>5</w:t>
      </w:r>
      <w:r w:rsidR="00B4095F" w:rsidRPr="009D6E1A">
        <w:rPr>
          <w:rFonts w:ascii="Times New Roman" w:eastAsia="Times New Roman" w:hAnsi="Times New Roman"/>
          <w:noProof/>
          <w:lang w:eastAsia="zh-TW"/>
        </w:rPr>
        <w:t xml:space="preserve"> percent</w:t>
      </w:r>
      <w:r w:rsidR="00CC0A42" w:rsidRPr="009D6E1A">
        <w:rPr>
          <w:rFonts w:ascii="Times New Roman" w:eastAsia="Times New Roman" w:hAnsi="Times New Roman"/>
          <w:noProof/>
          <w:lang w:eastAsia="zh-TW"/>
        </w:rPr>
        <w:t xml:space="preserve"> </w:t>
      </w:r>
      <w:r w:rsidR="009B2FA3">
        <w:rPr>
          <w:rFonts w:ascii="Times New Roman" w:eastAsia="Times New Roman" w:hAnsi="Times New Roman"/>
          <w:noProof/>
          <w:lang w:eastAsia="zh-TW"/>
        </w:rPr>
        <w:t>of total FTES</w:t>
      </w:r>
      <w:r w:rsidR="00CC0A42" w:rsidRPr="009D6E1A">
        <w:rPr>
          <w:rFonts w:ascii="Times New Roman" w:eastAsia="Times New Roman" w:hAnsi="Times New Roman"/>
          <w:noProof/>
          <w:lang w:eastAsia="zh-TW"/>
        </w:rPr>
        <w:t xml:space="preserve"> in fall 201</w:t>
      </w:r>
      <w:r w:rsidR="006A495F">
        <w:rPr>
          <w:rFonts w:ascii="Times New Roman" w:eastAsia="Times New Roman" w:hAnsi="Times New Roman"/>
          <w:noProof/>
          <w:lang w:eastAsia="zh-TW"/>
        </w:rPr>
        <w:t>5</w:t>
      </w:r>
      <w:r w:rsidR="00CC0A42" w:rsidRPr="009D6E1A">
        <w:rPr>
          <w:rFonts w:ascii="Times New Roman" w:eastAsia="Times New Roman" w:hAnsi="Times New Roman"/>
          <w:noProof/>
          <w:lang w:eastAsia="zh-TW"/>
        </w:rPr>
        <w:t>.</w:t>
      </w:r>
    </w:p>
    <w:p w:rsidR="00A26BDF" w:rsidRPr="00A26BDF" w:rsidRDefault="00A26BDF" w:rsidP="002E22B6">
      <w:pPr>
        <w:pStyle w:val="ListParagraph"/>
        <w:spacing w:after="0" w:line="240" w:lineRule="auto"/>
        <w:ind w:right="-360"/>
        <w:rPr>
          <w:rFonts w:ascii="Times New Roman" w:eastAsia="Times New Roman" w:hAnsi="Times New Roman"/>
          <w:noProof/>
          <w:lang w:eastAsia="zh-TW"/>
        </w:rPr>
      </w:pPr>
    </w:p>
    <w:p w:rsidR="00AD096B" w:rsidRPr="00A26BDF" w:rsidRDefault="00CC0A42" w:rsidP="00A26BDF">
      <w:pPr>
        <w:pStyle w:val="ListParagraph"/>
        <w:numPr>
          <w:ilvl w:val="4"/>
          <w:numId w:val="1"/>
        </w:numPr>
        <w:spacing w:after="0" w:line="240" w:lineRule="auto"/>
        <w:ind w:right="-360"/>
        <w:rPr>
          <w:rFonts w:ascii="Times New Roman" w:eastAsia="Times New Roman" w:hAnsi="Times New Roman"/>
          <w:noProof/>
          <w:lang w:eastAsia="zh-TW"/>
        </w:rPr>
      </w:pPr>
      <w:r w:rsidRPr="007B37F5">
        <w:rPr>
          <w:rFonts w:ascii="Times New Roman" w:eastAsia="Times New Roman" w:hAnsi="Times New Roman"/>
          <w:noProof/>
          <w:lang w:eastAsia="zh-TW"/>
        </w:rPr>
        <w:t>3</w:t>
      </w:r>
      <w:r w:rsidR="006A495F">
        <w:rPr>
          <w:rFonts w:ascii="Times New Roman" w:eastAsia="Times New Roman" w:hAnsi="Times New Roman"/>
          <w:noProof/>
          <w:lang w:eastAsia="zh-TW"/>
        </w:rPr>
        <w:t>8</w:t>
      </w:r>
      <w:r w:rsidRPr="007B37F5">
        <w:rPr>
          <w:rFonts w:ascii="Times New Roman" w:eastAsia="Times New Roman" w:hAnsi="Times New Roman"/>
          <w:noProof/>
          <w:lang w:eastAsia="zh-TW"/>
        </w:rPr>
        <w:t>,</w:t>
      </w:r>
      <w:r w:rsidR="006A495F">
        <w:rPr>
          <w:rFonts w:ascii="Times New Roman" w:eastAsia="Times New Roman" w:hAnsi="Times New Roman"/>
          <w:noProof/>
          <w:lang w:eastAsia="zh-TW"/>
        </w:rPr>
        <w:t>547</w:t>
      </w:r>
      <w:r w:rsidRPr="007B37F5">
        <w:rPr>
          <w:rFonts w:ascii="Times New Roman" w:eastAsia="Times New Roman" w:hAnsi="Times New Roman"/>
          <w:noProof/>
          <w:lang w:eastAsia="zh-TW"/>
        </w:rPr>
        <w:t xml:space="preserve"> contract-funded FTES were served in fall 201</w:t>
      </w:r>
      <w:r w:rsidR="006A495F">
        <w:rPr>
          <w:rFonts w:ascii="Times New Roman" w:eastAsia="Times New Roman" w:hAnsi="Times New Roman"/>
          <w:noProof/>
          <w:lang w:eastAsia="zh-TW"/>
        </w:rPr>
        <w:t>6</w:t>
      </w:r>
      <w:r w:rsidR="009D6E1A" w:rsidRPr="007B37F5">
        <w:rPr>
          <w:rFonts w:ascii="Times New Roman" w:eastAsia="Times New Roman" w:hAnsi="Times New Roman"/>
          <w:noProof/>
          <w:lang w:eastAsia="zh-TW"/>
        </w:rPr>
        <w:t xml:space="preserve">, a </w:t>
      </w:r>
      <w:r w:rsidR="006A495F">
        <w:rPr>
          <w:rFonts w:ascii="Times New Roman" w:eastAsia="Times New Roman" w:hAnsi="Times New Roman"/>
          <w:noProof/>
          <w:lang w:eastAsia="zh-TW"/>
        </w:rPr>
        <w:t>8</w:t>
      </w:r>
      <w:r w:rsidR="009D6E1A" w:rsidRPr="007B37F5">
        <w:rPr>
          <w:rFonts w:ascii="Times New Roman" w:eastAsia="Times New Roman" w:hAnsi="Times New Roman"/>
          <w:noProof/>
          <w:lang w:eastAsia="zh-TW"/>
        </w:rPr>
        <w:t xml:space="preserve"> percent increase (</w:t>
      </w:r>
      <w:r w:rsidR="006A495F">
        <w:rPr>
          <w:rFonts w:ascii="Times New Roman" w:eastAsia="Times New Roman" w:hAnsi="Times New Roman"/>
          <w:noProof/>
          <w:lang w:eastAsia="zh-TW"/>
        </w:rPr>
        <w:t>2,794</w:t>
      </w:r>
      <w:r w:rsidR="009D6E1A" w:rsidRPr="007B37F5">
        <w:rPr>
          <w:rFonts w:ascii="Times New Roman" w:eastAsia="Times New Roman" w:hAnsi="Times New Roman"/>
          <w:noProof/>
          <w:lang w:eastAsia="zh-TW"/>
        </w:rPr>
        <w:t xml:space="preserve"> FTES) from fall 201</w:t>
      </w:r>
      <w:r w:rsidR="006A495F">
        <w:rPr>
          <w:rFonts w:ascii="Times New Roman" w:eastAsia="Times New Roman" w:hAnsi="Times New Roman"/>
          <w:noProof/>
          <w:lang w:eastAsia="zh-TW"/>
        </w:rPr>
        <w:t>5</w:t>
      </w:r>
      <w:r w:rsidR="009D6E1A" w:rsidRPr="007B37F5">
        <w:rPr>
          <w:rFonts w:ascii="Times New Roman" w:eastAsia="Times New Roman" w:hAnsi="Times New Roman"/>
          <w:noProof/>
          <w:lang w:eastAsia="zh-TW"/>
        </w:rPr>
        <w:t>.</w:t>
      </w:r>
      <w:r w:rsidRPr="007B37F5">
        <w:rPr>
          <w:rFonts w:ascii="Times New Roman" w:eastAsia="Times New Roman" w:hAnsi="Times New Roman"/>
          <w:noProof/>
          <w:lang w:eastAsia="zh-TW"/>
        </w:rPr>
        <w:t xml:space="preserve"> This increase </w:t>
      </w:r>
      <w:r w:rsidR="009D6E1A" w:rsidRPr="007B37F5">
        <w:rPr>
          <w:rFonts w:ascii="Times New Roman" w:eastAsia="Times New Roman" w:hAnsi="Times New Roman"/>
          <w:noProof/>
          <w:lang w:eastAsia="zh-TW"/>
        </w:rPr>
        <w:t>wa</w:t>
      </w:r>
      <w:r w:rsidRPr="007B37F5">
        <w:rPr>
          <w:rFonts w:ascii="Times New Roman" w:eastAsia="Times New Roman" w:hAnsi="Times New Roman"/>
          <w:noProof/>
          <w:lang w:eastAsia="zh-TW"/>
        </w:rPr>
        <w:t>s largely due to growth in Running Start FTES,</w:t>
      </w:r>
      <w:r w:rsidR="007B37F5" w:rsidRPr="007B37F5">
        <w:rPr>
          <w:rFonts w:ascii="Times New Roman" w:eastAsia="Times New Roman" w:hAnsi="Times New Roman"/>
          <w:noProof/>
          <w:lang w:eastAsia="zh-TW"/>
        </w:rPr>
        <w:t xml:space="preserve"> which account for just over half</w:t>
      </w:r>
      <w:r w:rsidRPr="007B37F5">
        <w:rPr>
          <w:rFonts w:ascii="Times New Roman" w:eastAsia="Times New Roman" w:hAnsi="Times New Roman"/>
          <w:noProof/>
          <w:lang w:eastAsia="zh-TW"/>
        </w:rPr>
        <w:t xml:space="preserve"> of all contract-funded enrollments. </w:t>
      </w:r>
      <w:r w:rsidR="0064781C" w:rsidRPr="00776B06">
        <w:rPr>
          <w:rFonts w:ascii="Times New Roman" w:hAnsi="Times New Roman"/>
          <w:noProof/>
          <w:lang w:eastAsia="zh-TW"/>
        </w:rPr>
        <w:t>There was also a</w:t>
      </w:r>
      <w:r w:rsidR="006A495F">
        <w:rPr>
          <w:rFonts w:ascii="Times New Roman" w:hAnsi="Times New Roman"/>
          <w:noProof/>
          <w:lang w:eastAsia="zh-TW"/>
        </w:rPr>
        <w:t>n</w:t>
      </w:r>
      <w:r w:rsidR="0064781C" w:rsidRPr="00776B06">
        <w:rPr>
          <w:rFonts w:ascii="Times New Roman" w:hAnsi="Times New Roman"/>
          <w:noProof/>
          <w:lang w:eastAsia="zh-TW"/>
        </w:rPr>
        <w:t xml:space="preserve"> increase in contract international student enrollments.</w:t>
      </w:r>
      <w:r w:rsidR="006A495F">
        <w:rPr>
          <w:rFonts w:ascii="Times New Roman" w:hAnsi="Times New Roman"/>
          <w:noProof/>
          <w:lang w:eastAsia="zh-TW"/>
        </w:rPr>
        <w:t xml:space="preserve">  The increase in contract international student enrollments looks to be primarily due to a shift from state-supported international student enrollments due to the new rule limiting the number of international student enrollments that can be included for state allocations.</w:t>
      </w:r>
    </w:p>
    <w:p w:rsidR="00A26BDF" w:rsidRPr="00A26BDF" w:rsidRDefault="00A26BDF" w:rsidP="002E22B6">
      <w:pPr>
        <w:pStyle w:val="ListParagraph"/>
        <w:spacing w:after="0" w:line="240" w:lineRule="auto"/>
        <w:ind w:right="-360"/>
        <w:rPr>
          <w:rFonts w:ascii="Times New Roman" w:eastAsia="Times New Roman" w:hAnsi="Times New Roman"/>
          <w:noProof/>
          <w:lang w:eastAsia="zh-TW"/>
        </w:rPr>
      </w:pPr>
    </w:p>
    <w:p w:rsidR="00AD096B" w:rsidRPr="007B37F5" w:rsidRDefault="006A495F" w:rsidP="00AD096B">
      <w:pPr>
        <w:pStyle w:val="ListParagraph"/>
        <w:numPr>
          <w:ilvl w:val="4"/>
          <w:numId w:val="1"/>
        </w:numPr>
        <w:spacing w:after="0" w:line="240" w:lineRule="auto"/>
        <w:ind w:right="-360"/>
        <w:rPr>
          <w:b/>
          <w:i/>
          <w:noProof/>
          <w:sz w:val="30"/>
          <w:szCs w:val="30"/>
        </w:rPr>
      </w:pPr>
      <w:r>
        <w:rPr>
          <w:rFonts w:ascii="Times New Roman" w:eastAsia="Times New Roman" w:hAnsi="Times New Roman"/>
          <w:noProof/>
          <w:lang w:eastAsia="zh-TW"/>
        </w:rPr>
        <w:t>4,456</w:t>
      </w:r>
      <w:r w:rsidR="007B37F5" w:rsidRPr="007B37F5">
        <w:rPr>
          <w:rFonts w:ascii="Times New Roman" w:eastAsia="Times New Roman" w:hAnsi="Times New Roman"/>
          <w:noProof/>
          <w:lang w:eastAsia="zh-TW"/>
        </w:rPr>
        <w:t xml:space="preserve"> self-support FTES were served in fall 201</w:t>
      </w:r>
      <w:r>
        <w:rPr>
          <w:rFonts w:ascii="Times New Roman" w:eastAsia="Times New Roman" w:hAnsi="Times New Roman"/>
          <w:noProof/>
          <w:lang w:eastAsia="zh-TW"/>
        </w:rPr>
        <w:t>6</w:t>
      </w:r>
      <w:r w:rsidR="007B37F5" w:rsidRPr="007B37F5">
        <w:rPr>
          <w:rFonts w:ascii="Times New Roman" w:eastAsia="Times New Roman" w:hAnsi="Times New Roman"/>
          <w:noProof/>
          <w:lang w:eastAsia="zh-TW"/>
        </w:rPr>
        <w:t xml:space="preserve">, a </w:t>
      </w:r>
      <w:r>
        <w:rPr>
          <w:rFonts w:ascii="Times New Roman" w:eastAsia="Times New Roman" w:hAnsi="Times New Roman"/>
          <w:noProof/>
          <w:lang w:eastAsia="zh-TW"/>
        </w:rPr>
        <w:t>19</w:t>
      </w:r>
      <w:r w:rsidR="007B37F5" w:rsidRPr="007B37F5">
        <w:rPr>
          <w:rFonts w:ascii="Times New Roman" w:eastAsia="Times New Roman" w:hAnsi="Times New Roman"/>
          <w:noProof/>
          <w:lang w:eastAsia="zh-TW"/>
        </w:rPr>
        <w:t xml:space="preserve"> percent decline (-</w:t>
      </w:r>
      <w:r>
        <w:rPr>
          <w:rFonts w:ascii="Times New Roman" w:eastAsia="Times New Roman" w:hAnsi="Times New Roman"/>
          <w:noProof/>
          <w:lang w:eastAsia="zh-TW"/>
        </w:rPr>
        <w:t>1,072</w:t>
      </w:r>
      <w:r w:rsidR="007B37F5" w:rsidRPr="007B37F5">
        <w:rPr>
          <w:rFonts w:ascii="Times New Roman" w:eastAsia="Times New Roman" w:hAnsi="Times New Roman"/>
          <w:noProof/>
          <w:lang w:eastAsia="zh-TW"/>
        </w:rPr>
        <w:t xml:space="preserve"> </w:t>
      </w:r>
      <w:r w:rsidR="00AD096B" w:rsidRPr="007B37F5">
        <w:rPr>
          <w:rFonts w:ascii="Times New Roman" w:eastAsia="Times New Roman" w:hAnsi="Times New Roman"/>
          <w:noProof/>
          <w:lang w:eastAsia="zh-TW"/>
        </w:rPr>
        <w:t>FTE</w:t>
      </w:r>
      <w:r w:rsidR="007B37F5" w:rsidRPr="007B37F5">
        <w:rPr>
          <w:rFonts w:ascii="Times New Roman" w:eastAsia="Times New Roman" w:hAnsi="Times New Roman"/>
          <w:noProof/>
          <w:lang w:eastAsia="zh-TW"/>
        </w:rPr>
        <w:t>S) from fall 201</w:t>
      </w:r>
      <w:r>
        <w:rPr>
          <w:rFonts w:ascii="Times New Roman" w:eastAsia="Times New Roman" w:hAnsi="Times New Roman"/>
          <w:noProof/>
          <w:lang w:eastAsia="zh-TW"/>
        </w:rPr>
        <w:t>5</w:t>
      </w:r>
      <w:r w:rsidR="00AD096B" w:rsidRPr="007B37F5">
        <w:rPr>
          <w:rFonts w:ascii="Times New Roman" w:eastAsia="Times New Roman" w:hAnsi="Times New Roman"/>
          <w:noProof/>
          <w:lang w:eastAsia="zh-TW"/>
        </w:rPr>
        <w:t>.</w:t>
      </w:r>
    </w:p>
    <w:p w:rsidR="009D6E1A" w:rsidRPr="009D6E1A" w:rsidRDefault="009D6E1A" w:rsidP="009D6E1A">
      <w:pPr>
        <w:ind w:right="-360"/>
        <w:rPr>
          <w:noProof/>
          <w:sz w:val="30"/>
          <w:szCs w:val="30"/>
          <w:highlight w:val="yellow"/>
        </w:rPr>
      </w:pPr>
    </w:p>
    <w:p w:rsidR="009D6E1A" w:rsidRDefault="009D6E1A" w:rsidP="006A495F">
      <w:pPr>
        <w:pStyle w:val="ListParagraph"/>
        <w:ind w:left="0"/>
        <w:rPr>
          <w:rFonts w:ascii="Gill Sans MT" w:hAnsi="Gill Sans MT"/>
          <w:b/>
          <w:noProof/>
          <w:highlight w:val="yellow"/>
        </w:rPr>
      </w:pPr>
      <w:r>
        <w:rPr>
          <w:noProof/>
        </w:rPr>
        <w:drawing>
          <wp:inline distT="0" distB="0" distL="0" distR="0" wp14:anchorId="07F806A7" wp14:editId="5123E8AB">
            <wp:extent cx="8229600" cy="36576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Gill Sans MT" w:hAnsi="Gill Sans MT"/>
          <w:b/>
          <w:noProof/>
          <w:highlight w:val="yellow"/>
        </w:rPr>
        <w:br w:type="page"/>
      </w:r>
    </w:p>
    <w:p w:rsidR="0094201C" w:rsidRPr="006C66EC" w:rsidRDefault="0094201C" w:rsidP="00FB2D5C">
      <w:pPr>
        <w:pStyle w:val="Heading1"/>
        <w:rPr>
          <w:noProof/>
          <w:sz w:val="22"/>
          <w:szCs w:val="22"/>
        </w:rPr>
      </w:pPr>
      <w:r w:rsidRPr="006C66EC">
        <w:rPr>
          <w:noProof/>
        </w:rPr>
        <w:lastRenderedPageBreak/>
        <w:t>Enrollment by Course Intent</w:t>
      </w:r>
    </w:p>
    <w:p w:rsidR="0094201C" w:rsidRPr="006C66EC" w:rsidRDefault="006C66EC" w:rsidP="0094201C">
      <w:pPr>
        <w:pStyle w:val="ListParagraph"/>
        <w:numPr>
          <w:ilvl w:val="0"/>
          <w:numId w:val="16"/>
        </w:numPr>
        <w:spacing w:before="200" w:line="240" w:lineRule="auto"/>
        <w:rPr>
          <w:rFonts w:ascii="Times New Roman" w:eastAsia="Times New Roman" w:hAnsi="Times New Roman"/>
          <w:color w:val="000000"/>
          <w:kern w:val="24"/>
        </w:rPr>
      </w:pPr>
      <w:r>
        <w:rPr>
          <w:rFonts w:ascii="Times New Roman" w:eastAsia="Times New Roman" w:hAnsi="Times New Roman"/>
          <w:color w:val="000000"/>
          <w:kern w:val="24"/>
        </w:rPr>
        <w:t xml:space="preserve">The largest </w:t>
      </w:r>
      <w:r w:rsidR="00AE4E9D">
        <w:rPr>
          <w:rFonts w:ascii="Times New Roman" w:eastAsia="Times New Roman" w:hAnsi="Times New Roman"/>
          <w:color w:val="000000"/>
          <w:kern w:val="24"/>
        </w:rPr>
        <w:t xml:space="preserve">one-year </w:t>
      </w:r>
      <w:r>
        <w:rPr>
          <w:rFonts w:ascii="Times New Roman" w:eastAsia="Times New Roman" w:hAnsi="Times New Roman"/>
          <w:color w:val="000000"/>
          <w:kern w:val="24"/>
        </w:rPr>
        <w:t xml:space="preserve">decline in </w:t>
      </w:r>
      <w:r w:rsidR="00FF43EB">
        <w:rPr>
          <w:rFonts w:ascii="Times New Roman" w:eastAsia="Times New Roman" w:hAnsi="Times New Roman"/>
          <w:color w:val="000000"/>
          <w:kern w:val="24"/>
        </w:rPr>
        <w:t xml:space="preserve">state-supported </w:t>
      </w:r>
      <w:r>
        <w:rPr>
          <w:rFonts w:ascii="Times New Roman" w:eastAsia="Times New Roman" w:hAnsi="Times New Roman"/>
          <w:color w:val="000000"/>
          <w:kern w:val="24"/>
        </w:rPr>
        <w:t>FTES was in pre-college courses, a</w:t>
      </w:r>
      <w:r w:rsidR="006A495F">
        <w:rPr>
          <w:rFonts w:ascii="Times New Roman" w:eastAsia="Times New Roman" w:hAnsi="Times New Roman"/>
          <w:color w:val="000000"/>
          <w:kern w:val="24"/>
        </w:rPr>
        <w:t xml:space="preserve"> 9</w:t>
      </w:r>
      <w:r>
        <w:rPr>
          <w:rFonts w:ascii="Times New Roman" w:eastAsia="Times New Roman" w:hAnsi="Times New Roman"/>
          <w:color w:val="000000"/>
          <w:kern w:val="24"/>
        </w:rPr>
        <w:t xml:space="preserve"> percent decline (-</w:t>
      </w:r>
      <w:r w:rsidR="006510BF">
        <w:rPr>
          <w:rFonts w:ascii="Times New Roman" w:eastAsia="Times New Roman" w:hAnsi="Times New Roman"/>
          <w:color w:val="000000"/>
          <w:kern w:val="24"/>
        </w:rPr>
        <w:t>1,335</w:t>
      </w:r>
      <w:r>
        <w:rPr>
          <w:rFonts w:ascii="Times New Roman" w:eastAsia="Times New Roman" w:hAnsi="Times New Roman"/>
          <w:color w:val="000000"/>
          <w:kern w:val="24"/>
        </w:rPr>
        <w:t xml:space="preserve"> FTES)</w:t>
      </w:r>
      <w:r w:rsidR="00FF43EB">
        <w:rPr>
          <w:rFonts w:ascii="Times New Roman" w:eastAsia="Times New Roman" w:hAnsi="Times New Roman"/>
          <w:color w:val="000000"/>
          <w:kern w:val="24"/>
        </w:rPr>
        <w:t xml:space="preserve"> from fall 201</w:t>
      </w:r>
      <w:r w:rsidR="006A495F">
        <w:rPr>
          <w:rFonts w:ascii="Times New Roman" w:eastAsia="Times New Roman" w:hAnsi="Times New Roman"/>
          <w:color w:val="000000"/>
          <w:kern w:val="24"/>
        </w:rPr>
        <w:t>5</w:t>
      </w:r>
      <w:r w:rsidR="00C16DFE">
        <w:rPr>
          <w:rFonts w:ascii="Times New Roman" w:eastAsia="Times New Roman" w:hAnsi="Times New Roman"/>
          <w:color w:val="000000"/>
          <w:kern w:val="24"/>
        </w:rPr>
        <w:t xml:space="preserve">. </w:t>
      </w:r>
      <w:r w:rsidR="007933BE">
        <w:rPr>
          <w:rFonts w:ascii="Times New Roman" w:eastAsia="Times New Roman" w:hAnsi="Times New Roman"/>
          <w:color w:val="000000"/>
          <w:kern w:val="24"/>
        </w:rPr>
        <w:t>T</w:t>
      </w:r>
      <w:r>
        <w:rPr>
          <w:rFonts w:ascii="Times New Roman" w:eastAsia="Times New Roman" w:hAnsi="Times New Roman"/>
          <w:color w:val="000000"/>
          <w:kern w:val="24"/>
        </w:rPr>
        <w:t>h</w:t>
      </w:r>
      <w:r w:rsidR="007933BE">
        <w:rPr>
          <w:rFonts w:ascii="Times New Roman" w:eastAsia="Times New Roman" w:hAnsi="Times New Roman"/>
          <w:color w:val="000000"/>
          <w:kern w:val="24"/>
        </w:rPr>
        <w:t>e</w:t>
      </w:r>
      <w:r>
        <w:rPr>
          <w:rFonts w:ascii="Times New Roman" w:eastAsia="Times New Roman" w:hAnsi="Times New Roman"/>
          <w:color w:val="000000"/>
          <w:kern w:val="24"/>
        </w:rPr>
        <w:t xml:space="preserve"> larger decline in pre-college </w:t>
      </w:r>
      <w:r w:rsidR="007933BE">
        <w:rPr>
          <w:rFonts w:ascii="Times New Roman" w:eastAsia="Times New Roman" w:hAnsi="Times New Roman"/>
          <w:color w:val="000000"/>
          <w:kern w:val="24"/>
        </w:rPr>
        <w:t>FTES</w:t>
      </w:r>
      <w:r>
        <w:rPr>
          <w:rFonts w:ascii="Times New Roman" w:eastAsia="Times New Roman" w:hAnsi="Times New Roman"/>
          <w:color w:val="000000"/>
          <w:kern w:val="24"/>
        </w:rPr>
        <w:t xml:space="preserve"> </w:t>
      </w:r>
      <w:r w:rsidR="007933BE">
        <w:rPr>
          <w:rFonts w:ascii="Times New Roman" w:eastAsia="Times New Roman" w:hAnsi="Times New Roman"/>
          <w:color w:val="000000"/>
          <w:kern w:val="24"/>
        </w:rPr>
        <w:t>seems to be</w:t>
      </w:r>
      <w:r>
        <w:rPr>
          <w:rFonts w:ascii="Times New Roman" w:eastAsia="Times New Roman" w:hAnsi="Times New Roman"/>
          <w:color w:val="000000"/>
          <w:kern w:val="24"/>
        </w:rPr>
        <w:t xml:space="preserve"> partially due to college efforts </w:t>
      </w:r>
      <w:r w:rsidR="00512412">
        <w:rPr>
          <w:rFonts w:ascii="Times New Roman" w:eastAsia="Times New Roman" w:hAnsi="Times New Roman"/>
          <w:color w:val="000000"/>
          <w:kern w:val="24"/>
        </w:rPr>
        <w:t>to reduce the amount of time students spend in pre-college courses and partially due to changes in the academic preparation of incoming students</w:t>
      </w:r>
      <w:r>
        <w:rPr>
          <w:rFonts w:ascii="Times New Roman" w:eastAsia="Times New Roman" w:hAnsi="Times New Roman"/>
          <w:color w:val="000000"/>
          <w:kern w:val="24"/>
        </w:rPr>
        <w:t>.</w:t>
      </w:r>
    </w:p>
    <w:p w:rsidR="0094201C" w:rsidRPr="006C66EC" w:rsidRDefault="0094201C" w:rsidP="0094201C">
      <w:pPr>
        <w:pStyle w:val="ListParagraph"/>
        <w:spacing w:before="200" w:line="240" w:lineRule="auto"/>
        <w:rPr>
          <w:rFonts w:ascii="Times New Roman" w:eastAsia="Times New Roman" w:hAnsi="Times New Roman"/>
          <w:color w:val="000000"/>
          <w:kern w:val="24"/>
        </w:rPr>
      </w:pPr>
    </w:p>
    <w:p w:rsidR="0094201C" w:rsidRPr="006C66EC" w:rsidRDefault="00AE4E9D" w:rsidP="0094201C">
      <w:pPr>
        <w:pStyle w:val="ListParagraph"/>
        <w:numPr>
          <w:ilvl w:val="0"/>
          <w:numId w:val="16"/>
        </w:numPr>
        <w:spacing w:before="200" w:line="240" w:lineRule="auto"/>
        <w:rPr>
          <w:rFonts w:ascii="Times New Roman" w:eastAsia="Times New Roman" w:hAnsi="Times New Roman"/>
          <w:color w:val="000000"/>
          <w:kern w:val="24"/>
        </w:rPr>
      </w:pPr>
      <w:r>
        <w:rPr>
          <w:rFonts w:ascii="Times New Roman" w:eastAsia="Times New Roman" w:hAnsi="Times New Roman"/>
          <w:color w:val="000000"/>
          <w:kern w:val="24"/>
        </w:rPr>
        <w:t>Workforce course enrollments have had the largest decline over the past five years while the economy has been recovering.  This marks the first year during the time period in which workforce course enrollments had a slight increase, up by less than 1</w:t>
      </w:r>
      <w:r w:rsidR="006C66EC">
        <w:rPr>
          <w:rFonts w:ascii="Times New Roman" w:eastAsia="Times New Roman" w:hAnsi="Times New Roman"/>
          <w:color w:val="000000"/>
          <w:kern w:val="24"/>
        </w:rPr>
        <w:t xml:space="preserve"> percent (</w:t>
      </w:r>
      <w:r>
        <w:rPr>
          <w:rFonts w:ascii="Times New Roman" w:eastAsia="Times New Roman" w:hAnsi="Times New Roman"/>
          <w:color w:val="000000"/>
          <w:kern w:val="24"/>
        </w:rPr>
        <w:t>130</w:t>
      </w:r>
      <w:r w:rsidR="006C66EC">
        <w:rPr>
          <w:rFonts w:ascii="Times New Roman" w:eastAsia="Times New Roman" w:hAnsi="Times New Roman"/>
          <w:color w:val="000000"/>
          <w:kern w:val="24"/>
        </w:rPr>
        <w:t xml:space="preserve"> FTES)</w:t>
      </w:r>
      <w:r w:rsidR="00FF43EB">
        <w:rPr>
          <w:rFonts w:ascii="Times New Roman" w:eastAsia="Times New Roman" w:hAnsi="Times New Roman"/>
          <w:color w:val="000000"/>
          <w:kern w:val="24"/>
        </w:rPr>
        <w:t xml:space="preserve"> from fall 201</w:t>
      </w:r>
      <w:r>
        <w:rPr>
          <w:rFonts w:ascii="Times New Roman" w:eastAsia="Times New Roman" w:hAnsi="Times New Roman"/>
          <w:color w:val="000000"/>
          <w:kern w:val="24"/>
        </w:rPr>
        <w:t>5</w:t>
      </w:r>
      <w:r w:rsidR="006C66EC">
        <w:rPr>
          <w:rFonts w:ascii="Times New Roman" w:eastAsia="Times New Roman" w:hAnsi="Times New Roman"/>
          <w:color w:val="000000"/>
          <w:kern w:val="24"/>
        </w:rPr>
        <w:t>.</w:t>
      </w:r>
      <w:r w:rsidR="0094201C" w:rsidRPr="006C66EC">
        <w:rPr>
          <w:rFonts w:ascii="Times New Roman" w:eastAsia="Times New Roman" w:hAnsi="Times New Roman"/>
          <w:color w:val="000000"/>
          <w:kern w:val="24"/>
        </w:rPr>
        <w:t xml:space="preserve"> </w:t>
      </w:r>
    </w:p>
    <w:p w:rsidR="0094201C" w:rsidRPr="006C66EC" w:rsidRDefault="0094201C" w:rsidP="0094201C">
      <w:pPr>
        <w:pStyle w:val="ListParagraph"/>
        <w:rPr>
          <w:rFonts w:ascii="Times New Roman" w:eastAsia="Times New Roman" w:hAnsi="Times New Roman"/>
          <w:color w:val="000000"/>
          <w:kern w:val="24"/>
        </w:rPr>
      </w:pPr>
    </w:p>
    <w:p w:rsidR="0094201C" w:rsidRPr="006C66EC" w:rsidRDefault="00AE4E9D" w:rsidP="0094201C">
      <w:pPr>
        <w:pStyle w:val="ListParagraph"/>
        <w:numPr>
          <w:ilvl w:val="0"/>
          <w:numId w:val="16"/>
        </w:numPr>
        <w:spacing w:before="200" w:line="240" w:lineRule="auto"/>
        <w:rPr>
          <w:color w:val="000000"/>
          <w:kern w:val="24"/>
        </w:rPr>
      </w:pPr>
      <w:r>
        <w:rPr>
          <w:rFonts w:ascii="Times New Roman" w:eastAsia="Times New Roman" w:hAnsi="Times New Roman"/>
          <w:color w:val="000000"/>
          <w:kern w:val="24"/>
        </w:rPr>
        <w:t>Academic course enrollments have had the largest five-year increase, but showed no growth from f</w:t>
      </w:r>
      <w:r w:rsidR="0090746E">
        <w:rPr>
          <w:rFonts w:ascii="Times New Roman" w:eastAsia="Times New Roman" w:hAnsi="Times New Roman"/>
          <w:color w:val="000000"/>
          <w:kern w:val="24"/>
        </w:rPr>
        <w:t>all 201</w:t>
      </w:r>
      <w:r>
        <w:rPr>
          <w:rFonts w:ascii="Times New Roman" w:eastAsia="Times New Roman" w:hAnsi="Times New Roman"/>
          <w:color w:val="000000"/>
          <w:kern w:val="24"/>
        </w:rPr>
        <w:t>5</w:t>
      </w:r>
      <w:r w:rsidR="00FF43EB">
        <w:rPr>
          <w:rFonts w:ascii="Times New Roman" w:eastAsia="Times New Roman" w:hAnsi="Times New Roman"/>
          <w:color w:val="000000"/>
          <w:kern w:val="24"/>
        </w:rPr>
        <w:t>.</w:t>
      </w:r>
    </w:p>
    <w:p w:rsidR="0094201C" w:rsidRPr="006C66EC" w:rsidRDefault="0094201C" w:rsidP="0094201C">
      <w:pPr>
        <w:pStyle w:val="ListParagraph"/>
        <w:spacing w:before="200" w:line="240" w:lineRule="auto"/>
        <w:rPr>
          <w:color w:val="000000"/>
          <w:kern w:val="24"/>
        </w:rPr>
      </w:pPr>
    </w:p>
    <w:p w:rsidR="0090746E" w:rsidRPr="006C66EC" w:rsidRDefault="00AE4E9D" w:rsidP="0090746E">
      <w:pPr>
        <w:pStyle w:val="ListParagraph"/>
        <w:numPr>
          <w:ilvl w:val="0"/>
          <w:numId w:val="16"/>
        </w:numPr>
        <w:spacing w:before="200" w:line="240" w:lineRule="auto"/>
        <w:rPr>
          <w:noProof/>
        </w:rPr>
      </w:pPr>
      <w:r>
        <w:rPr>
          <w:rFonts w:ascii="Times New Roman" w:eastAsia="Times New Roman" w:hAnsi="Times New Roman"/>
          <w:color w:val="000000"/>
          <w:kern w:val="24"/>
        </w:rPr>
        <w:t>A</w:t>
      </w:r>
      <w:r w:rsidR="0094201C" w:rsidRPr="006C66EC">
        <w:rPr>
          <w:rFonts w:ascii="Times New Roman" w:eastAsia="Times New Roman" w:hAnsi="Times New Roman"/>
          <w:color w:val="000000"/>
          <w:kern w:val="24"/>
        </w:rPr>
        <w:t>dult basic education course</w:t>
      </w:r>
      <w:r>
        <w:rPr>
          <w:rFonts w:ascii="Times New Roman" w:eastAsia="Times New Roman" w:hAnsi="Times New Roman"/>
          <w:color w:val="000000"/>
          <w:kern w:val="24"/>
        </w:rPr>
        <w:t xml:space="preserve"> enrollment have remained fairly consistent over the past five years with a 4</w:t>
      </w:r>
      <w:r w:rsidR="00FF43EB">
        <w:rPr>
          <w:rFonts w:ascii="Times New Roman" w:eastAsia="Times New Roman" w:hAnsi="Times New Roman"/>
          <w:color w:val="000000"/>
          <w:kern w:val="24"/>
        </w:rPr>
        <w:t xml:space="preserve"> percent </w:t>
      </w:r>
      <w:r>
        <w:rPr>
          <w:rFonts w:ascii="Times New Roman" w:eastAsia="Times New Roman" w:hAnsi="Times New Roman"/>
          <w:color w:val="000000"/>
          <w:kern w:val="24"/>
        </w:rPr>
        <w:t xml:space="preserve">decline </w:t>
      </w:r>
      <w:r w:rsidR="00FF43EB">
        <w:rPr>
          <w:rFonts w:ascii="Times New Roman" w:eastAsia="Times New Roman" w:hAnsi="Times New Roman"/>
          <w:color w:val="000000"/>
          <w:kern w:val="24"/>
        </w:rPr>
        <w:t>(</w:t>
      </w:r>
      <w:r>
        <w:rPr>
          <w:rFonts w:ascii="Times New Roman" w:eastAsia="Times New Roman" w:hAnsi="Times New Roman"/>
          <w:color w:val="000000"/>
          <w:kern w:val="24"/>
        </w:rPr>
        <w:t>-781</w:t>
      </w:r>
      <w:r w:rsidR="00FF43EB">
        <w:rPr>
          <w:rFonts w:ascii="Times New Roman" w:eastAsia="Times New Roman" w:hAnsi="Times New Roman"/>
          <w:color w:val="000000"/>
          <w:kern w:val="24"/>
        </w:rPr>
        <w:t xml:space="preserve"> FTES)</w:t>
      </w:r>
      <w:r w:rsidR="0090746E">
        <w:rPr>
          <w:rFonts w:ascii="Times New Roman" w:eastAsia="Times New Roman" w:hAnsi="Times New Roman"/>
          <w:color w:val="000000"/>
          <w:kern w:val="24"/>
        </w:rPr>
        <w:t xml:space="preserve"> from fall 201</w:t>
      </w:r>
      <w:r>
        <w:rPr>
          <w:rFonts w:ascii="Times New Roman" w:eastAsia="Times New Roman" w:hAnsi="Times New Roman"/>
          <w:color w:val="000000"/>
          <w:kern w:val="24"/>
        </w:rPr>
        <w:t>5</w:t>
      </w:r>
      <w:r w:rsidR="0094201C" w:rsidRPr="006C66EC">
        <w:rPr>
          <w:rFonts w:ascii="Times New Roman" w:eastAsia="Times New Roman" w:hAnsi="Times New Roman"/>
          <w:color w:val="000000"/>
          <w:kern w:val="24"/>
        </w:rPr>
        <w:t>.</w:t>
      </w:r>
    </w:p>
    <w:p w:rsidR="00794E7F" w:rsidRPr="006C66EC" w:rsidRDefault="001900C0" w:rsidP="001900C0">
      <w:pPr>
        <w:rPr>
          <w:noProof/>
          <w:sz w:val="22"/>
          <w:szCs w:val="22"/>
        </w:rPr>
      </w:pPr>
      <w:r w:rsidRPr="006C66EC">
        <w:rPr>
          <w:noProof/>
        </w:rPr>
        <w:drawing>
          <wp:inline distT="0" distB="0" distL="0" distR="0" wp14:anchorId="0B93232A" wp14:editId="26B8A780">
            <wp:extent cx="82296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E9D" w:rsidRDefault="00AE4E9D">
      <w:pPr>
        <w:rPr>
          <w:rFonts w:ascii="Gill Sans MT" w:hAnsi="Gill Sans MT"/>
          <w:b/>
        </w:rPr>
      </w:pPr>
      <w:r>
        <w:rPr>
          <w:rFonts w:ascii="Gill Sans MT" w:hAnsi="Gill Sans MT"/>
          <w:b/>
        </w:rPr>
        <w:br w:type="page"/>
      </w:r>
    </w:p>
    <w:p w:rsidR="006878FE" w:rsidRPr="00A26BDF" w:rsidRDefault="0027466C" w:rsidP="00FB2D5C">
      <w:pPr>
        <w:pStyle w:val="Heading1"/>
      </w:pPr>
      <w:r>
        <w:lastRenderedPageBreak/>
        <w:t>Headcount by Funding Source</w:t>
      </w:r>
    </w:p>
    <w:p w:rsidR="006878FE" w:rsidRDefault="006878FE" w:rsidP="00A26BDF">
      <w:pPr>
        <w:pStyle w:val="ListParagraph"/>
        <w:numPr>
          <w:ilvl w:val="0"/>
          <w:numId w:val="16"/>
        </w:numPr>
        <w:spacing w:before="200" w:line="240" w:lineRule="auto"/>
        <w:rPr>
          <w:rFonts w:ascii="Times New Roman" w:eastAsia="Times New Roman" w:hAnsi="Times New Roman"/>
          <w:color w:val="000000"/>
          <w:kern w:val="24"/>
        </w:rPr>
      </w:pPr>
      <w:r w:rsidRPr="00A26BDF">
        <w:rPr>
          <w:rFonts w:ascii="Times New Roman" w:eastAsia="Times New Roman" w:hAnsi="Times New Roman"/>
          <w:color w:val="000000"/>
          <w:kern w:val="24"/>
        </w:rPr>
        <w:t>Almost a quarter million students enrolled in the community and technical colleges in fall 201</w:t>
      </w:r>
      <w:r w:rsidR="0027466C" w:rsidRPr="00A26BDF">
        <w:rPr>
          <w:rFonts w:ascii="Times New Roman" w:eastAsia="Times New Roman" w:hAnsi="Times New Roman"/>
          <w:color w:val="000000"/>
          <w:kern w:val="24"/>
        </w:rPr>
        <w:t>5</w:t>
      </w:r>
      <w:r w:rsidRPr="00A26BDF">
        <w:rPr>
          <w:rFonts w:ascii="Times New Roman" w:eastAsia="Times New Roman" w:hAnsi="Times New Roman"/>
          <w:color w:val="000000"/>
          <w:kern w:val="24"/>
        </w:rPr>
        <w:t xml:space="preserve"> (</w:t>
      </w:r>
      <w:r w:rsidR="00422ED5" w:rsidRPr="00A26BDF">
        <w:rPr>
          <w:rFonts w:ascii="Times New Roman" w:eastAsia="Times New Roman" w:hAnsi="Times New Roman"/>
          <w:color w:val="000000"/>
          <w:kern w:val="24"/>
        </w:rPr>
        <w:t>2</w:t>
      </w:r>
      <w:r w:rsidR="006510BF">
        <w:rPr>
          <w:rFonts w:ascii="Times New Roman" w:eastAsia="Times New Roman" w:hAnsi="Times New Roman"/>
          <w:color w:val="000000"/>
          <w:kern w:val="24"/>
        </w:rPr>
        <w:t>27</w:t>
      </w:r>
      <w:r w:rsidR="00422ED5" w:rsidRPr="00A26BDF">
        <w:rPr>
          <w:rFonts w:ascii="Times New Roman" w:eastAsia="Times New Roman" w:hAnsi="Times New Roman"/>
          <w:color w:val="000000"/>
          <w:kern w:val="24"/>
        </w:rPr>
        <w:t>,</w:t>
      </w:r>
      <w:r w:rsidR="006510BF">
        <w:rPr>
          <w:rFonts w:ascii="Times New Roman" w:eastAsia="Times New Roman" w:hAnsi="Times New Roman"/>
          <w:color w:val="000000"/>
          <w:kern w:val="24"/>
        </w:rPr>
        <w:t>873</w:t>
      </w:r>
      <w:r w:rsidRPr="00A26BDF">
        <w:rPr>
          <w:rFonts w:ascii="Times New Roman" w:eastAsia="Times New Roman" w:hAnsi="Times New Roman"/>
          <w:color w:val="000000"/>
          <w:kern w:val="24"/>
        </w:rPr>
        <w:t xml:space="preserve"> unduplicated students)</w:t>
      </w:r>
      <w:r w:rsidR="00EB7E1E" w:rsidRPr="00A26BDF">
        <w:rPr>
          <w:rFonts w:ascii="Times New Roman" w:eastAsia="Times New Roman" w:hAnsi="Times New Roman"/>
          <w:color w:val="000000"/>
          <w:kern w:val="24"/>
        </w:rPr>
        <w:t>,</w:t>
      </w:r>
      <w:r w:rsidRPr="00A26BDF">
        <w:rPr>
          <w:rFonts w:ascii="Times New Roman" w:eastAsia="Times New Roman" w:hAnsi="Times New Roman"/>
          <w:color w:val="000000"/>
          <w:kern w:val="24"/>
        </w:rPr>
        <w:t xml:space="preserve"> with </w:t>
      </w:r>
      <w:r w:rsidR="0027466C" w:rsidRPr="00A26BDF">
        <w:rPr>
          <w:rFonts w:ascii="Times New Roman" w:eastAsia="Times New Roman" w:hAnsi="Times New Roman"/>
          <w:color w:val="000000"/>
          <w:kern w:val="24"/>
        </w:rPr>
        <w:t>just under 75 percent of</w:t>
      </w:r>
      <w:r w:rsidRPr="00A26BDF">
        <w:rPr>
          <w:rFonts w:ascii="Times New Roman" w:eastAsia="Times New Roman" w:hAnsi="Times New Roman"/>
          <w:color w:val="000000"/>
          <w:kern w:val="24"/>
        </w:rPr>
        <w:t xml:space="preserve"> those students (</w:t>
      </w:r>
      <w:r w:rsidR="00422ED5" w:rsidRPr="00A26BDF">
        <w:rPr>
          <w:rFonts w:ascii="Times New Roman" w:eastAsia="Times New Roman" w:hAnsi="Times New Roman"/>
          <w:color w:val="000000"/>
          <w:kern w:val="24"/>
        </w:rPr>
        <w:t>1</w:t>
      </w:r>
      <w:r w:rsidR="006510BF">
        <w:rPr>
          <w:rFonts w:ascii="Times New Roman" w:eastAsia="Times New Roman" w:hAnsi="Times New Roman"/>
          <w:color w:val="000000"/>
          <w:kern w:val="24"/>
        </w:rPr>
        <w:t>65</w:t>
      </w:r>
      <w:r w:rsidR="00422ED5" w:rsidRPr="00A26BDF">
        <w:rPr>
          <w:rFonts w:ascii="Times New Roman" w:eastAsia="Times New Roman" w:hAnsi="Times New Roman"/>
          <w:color w:val="000000"/>
          <w:kern w:val="24"/>
        </w:rPr>
        <w:t>,</w:t>
      </w:r>
      <w:r w:rsidR="006510BF">
        <w:rPr>
          <w:rFonts w:ascii="Times New Roman" w:eastAsia="Times New Roman" w:hAnsi="Times New Roman"/>
          <w:color w:val="000000"/>
          <w:kern w:val="24"/>
        </w:rPr>
        <w:t>115</w:t>
      </w:r>
      <w:r w:rsidR="0027466C" w:rsidRPr="00A26BDF">
        <w:rPr>
          <w:rFonts w:ascii="Times New Roman" w:eastAsia="Times New Roman" w:hAnsi="Times New Roman"/>
          <w:color w:val="000000"/>
          <w:kern w:val="24"/>
        </w:rPr>
        <w:t xml:space="preserve">) enrolled in </w:t>
      </w:r>
      <w:r w:rsidR="005E0A21" w:rsidRPr="00A26BDF">
        <w:rPr>
          <w:rFonts w:ascii="Times New Roman" w:eastAsia="Times New Roman" w:hAnsi="Times New Roman"/>
          <w:color w:val="000000"/>
          <w:kern w:val="24"/>
        </w:rPr>
        <w:t>state-supported courses.</w:t>
      </w:r>
    </w:p>
    <w:p w:rsidR="00A26BDF" w:rsidRDefault="00A26BDF" w:rsidP="00A26BDF">
      <w:pPr>
        <w:pStyle w:val="ListParagraph"/>
        <w:spacing w:before="200" w:line="240" w:lineRule="auto"/>
        <w:rPr>
          <w:rFonts w:ascii="Times New Roman" w:eastAsia="Times New Roman" w:hAnsi="Times New Roman"/>
          <w:color w:val="000000"/>
          <w:kern w:val="24"/>
        </w:rPr>
      </w:pPr>
    </w:p>
    <w:p w:rsidR="00A26BDF" w:rsidRDefault="00A26BDF" w:rsidP="00A26BDF">
      <w:pPr>
        <w:pStyle w:val="ListParagraph"/>
        <w:numPr>
          <w:ilvl w:val="0"/>
          <w:numId w:val="16"/>
        </w:numPr>
        <w:spacing w:before="200" w:line="240" w:lineRule="auto"/>
        <w:rPr>
          <w:rFonts w:ascii="Times New Roman" w:eastAsia="Times New Roman" w:hAnsi="Times New Roman"/>
          <w:color w:val="000000"/>
          <w:kern w:val="24"/>
        </w:rPr>
      </w:pPr>
      <w:r>
        <w:rPr>
          <w:rFonts w:ascii="Times New Roman" w:eastAsia="Times New Roman" w:hAnsi="Times New Roman"/>
          <w:color w:val="000000"/>
          <w:kern w:val="24"/>
        </w:rPr>
        <w:t xml:space="preserve">State-supported headcount declined by less than </w:t>
      </w:r>
      <w:r w:rsidR="006510BF">
        <w:rPr>
          <w:rFonts w:ascii="Times New Roman" w:eastAsia="Times New Roman" w:hAnsi="Times New Roman"/>
          <w:color w:val="000000"/>
          <w:kern w:val="24"/>
        </w:rPr>
        <w:t>3</w:t>
      </w:r>
      <w:r>
        <w:rPr>
          <w:rFonts w:ascii="Times New Roman" w:eastAsia="Times New Roman" w:hAnsi="Times New Roman"/>
          <w:color w:val="000000"/>
          <w:kern w:val="24"/>
        </w:rPr>
        <w:t xml:space="preserve"> percent (-</w:t>
      </w:r>
      <w:r w:rsidR="006510BF">
        <w:rPr>
          <w:rFonts w:ascii="Times New Roman" w:eastAsia="Times New Roman" w:hAnsi="Times New Roman"/>
          <w:color w:val="000000"/>
          <w:kern w:val="24"/>
        </w:rPr>
        <w:t>5,288</w:t>
      </w:r>
      <w:r>
        <w:rPr>
          <w:rFonts w:ascii="Times New Roman" w:eastAsia="Times New Roman" w:hAnsi="Times New Roman"/>
          <w:color w:val="000000"/>
          <w:kern w:val="24"/>
        </w:rPr>
        <w:t xml:space="preserve"> students)</w:t>
      </w:r>
      <w:r w:rsidR="00C16DFE">
        <w:rPr>
          <w:rFonts w:ascii="Times New Roman" w:eastAsia="Times New Roman" w:hAnsi="Times New Roman"/>
          <w:color w:val="000000"/>
          <w:kern w:val="24"/>
        </w:rPr>
        <w:t xml:space="preserve">. </w:t>
      </w:r>
      <w:r>
        <w:rPr>
          <w:rFonts w:ascii="Times New Roman" w:eastAsia="Times New Roman" w:hAnsi="Times New Roman"/>
          <w:color w:val="000000"/>
          <w:kern w:val="24"/>
        </w:rPr>
        <w:t xml:space="preserve">This is </w:t>
      </w:r>
      <w:r w:rsidR="00F43CE8">
        <w:rPr>
          <w:rFonts w:ascii="Times New Roman" w:eastAsia="Times New Roman" w:hAnsi="Times New Roman"/>
          <w:color w:val="000000"/>
          <w:kern w:val="24"/>
        </w:rPr>
        <w:t>relatively</w:t>
      </w:r>
      <w:r>
        <w:rPr>
          <w:rFonts w:ascii="Times New Roman" w:eastAsia="Times New Roman" w:hAnsi="Times New Roman"/>
          <w:color w:val="000000"/>
          <w:kern w:val="24"/>
        </w:rPr>
        <w:t xml:space="preserve"> smaller </w:t>
      </w:r>
      <w:r w:rsidR="008E42FE">
        <w:rPr>
          <w:rFonts w:ascii="Times New Roman" w:eastAsia="Times New Roman" w:hAnsi="Times New Roman"/>
          <w:color w:val="000000"/>
          <w:kern w:val="24"/>
        </w:rPr>
        <w:t>than the decline in state-supported FTE enrollments, suggesting that the decline in state-supported enrollment is due to a combination of fewer</w:t>
      </w:r>
      <w:r w:rsidR="00F43CE8">
        <w:rPr>
          <w:rFonts w:ascii="Times New Roman" w:eastAsia="Times New Roman" w:hAnsi="Times New Roman"/>
          <w:color w:val="000000"/>
          <w:kern w:val="24"/>
        </w:rPr>
        <w:t xml:space="preserve"> students</w:t>
      </w:r>
      <w:r w:rsidR="008E42FE">
        <w:rPr>
          <w:rFonts w:ascii="Times New Roman" w:eastAsia="Times New Roman" w:hAnsi="Times New Roman"/>
          <w:color w:val="000000"/>
          <w:kern w:val="24"/>
        </w:rPr>
        <w:t xml:space="preserve"> and students enrolling in fewer credits.</w:t>
      </w:r>
    </w:p>
    <w:p w:rsidR="008E42FE" w:rsidRPr="008E42FE" w:rsidRDefault="008E42FE" w:rsidP="008E42FE">
      <w:pPr>
        <w:pStyle w:val="ListParagraph"/>
        <w:rPr>
          <w:rFonts w:ascii="Times New Roman" w:eastAsia="Times New Roman" w:hAnsi="Times New Roman"/>
          <w:color w:val="000000"/>
          <w:kern w:val="24"/>
        </w:rPr>
      </w:pPr>
    </w:p>
    <w:p w:rsidR="008E42FE" w:rsidRPr="00A26BDF" w:rsidRDefault="008E42FE" w:rsidP="00A26BDF">
      <w:pPr>
        <w:pStyle w:val="ListParagraph"/>
        <w:numPr>
          <w:ilvl w:val="0"/>
          <w:numId w:val="16"/>
        </w:numPr>
        <w:spacing w:before="200" w:line="240" w:lineRule="auto"/>
        <w:rPr>
          <w:rFonts w:ascii="Times New Roman" w:eastAsia="Times New Roman" w:hAnsi="Times New Roman"/>
          <w:color w:val="000000"/>
          <w:kern w:val="24"/>
        </w:rPr>
      </w:pPr>
      <w:r>
        <w:rPr>
          <w:rFonts w:ascii="Times New Roman" w:eastAsia="Times New Roman" w:hAnsi="Times New Roman"/>
          <w:color w:val="000000"/>
          <w:kern w:val="24"/>
        </w:rPr>
        <w:t xml:space="preserve">Contract funded headcount increased by </w:t>
      </w:r>
      <w:r w:rsidR="00F43CE8">
        <w:rPr>
          <w:rFonts w:ascii="Times New Roman" w:eastAsia="Times New Roman" w:hAnsi="Times New Roman"/>
          <w:color w:val="000000"/>
          <w:kern w:val="24"/>
        </w:rPr>
        <w:t>9</w:t>
      </w:r>
      <w:r>
        <w:rPr>
          <w:rFonts w:ascii="Times New Roman" w:eastAsia="Times New Roman" w:hAnsi="Times New Roman"/>
          <w:color w:val="000000"/>
          <w:kern w:val="24"/>
        </w:rPr>
        <w:t xml:space="preserve"> percent (</w:t>
      </w:r>
      <w:r w:rsidR="00F43CE8">
        <w:rPr>
          <w:rFonts w:ascii="Times New Roman" w:eastAsia="Times New Roman" w:hAnsi="Times New Roman"/>
          <w:color w:val="000000"/>
          <w:kern w:val="24"/>
        </w:rPr>
        <w:t>3,544</w:t>
      </w:r>
      <w:r>
        <w:rPr>
          <w:rFonts w:ascii="Times New Roman" w:eastAsia="Times New Roman" w:hAnsi="Times New Roman"/>
          <w:color w:val="000000"/>
          <w:kern w:val="24"/>
        </w:rPr>
        <w:t xml:space="preserve"> students)</w:t>
      </w:r>
      <w:r w:rsidR="00C16DFE">
        <w:rPr>
          <w:rFonts w:ascii="Times New Roman" w:eastAsia="Times New Roman" w:hAnsi="Times New Roman"/>
          <w:color w:val="000000"/>
          <w:kern w:val="24"/>
        </w:rPr>
        <w:t xml:space="preserve">. </w:t>
      </w:r>
      <w:r>
        <w:rPr>
          <w:rFonts w:ascii="Times New Roman" w:eastAsia="Times New Roman" w:hAnsi="Times New Roman"/>
          <w:color w:val="000000"/>
          <w:kern w:val="24"/>
        </w:rPr>
        <w:t xml:space="preserve">Self-support headcount </w:t>
      </w:r>
      <w:r w:rsidR="00F43CE8">
        <w:rPr>
          <w:rFonts w:ascii="Times New Roman" w:eastAsia="Times New Roman" w:hAnsi="Times New Roman"/>
          <w:color w:val="000000"/>
          <w:kern w:val="24"/>
        </w:rPr>
        <w:t>declined</w:t>
      </w:r>
      <w:r>
        <w:rPr>
          <w:rFonts w:ascii="Times New Roman" w:eastAsia="Times New Roman" w:hAnsi="Times New Roman"/>
          <w:color w:val="000000"/>
          <w:kern w:val="24"/>
        </w:rPr>
        <w:t xml:space="preserve"> by </w:t>
      </w:r>
      <w:r w:rsidR="00F43CE8">
        <w:rPr>
          <w:rFonts w:ascii="Times New Roman" w:eastAsia="Times New Roman" w:hAnsi="Times New Roman"/>
          <w:color w:val="000000"/>
          <w:kern w:val="24"/>
        </w:rPr>
        <w:t>14</w:t>
      </w:r>
      <w:r>
        <w:rPr>
          <w:rFonts w:ascii="Times New Roman" w:eastAsia="Times New Roman" w:hAnsi="Times New Roman"/>
          <w:color w:val="000000"/>
          <w:kern w:val="24"/>
        </w:rPr>
        <w:t xml:space="preserve"> percent (</w:t>
      </w:r>
      <w:r w:rsidR="00F43CE8">
        <w:rPr>
          <w:rFonts w:ascii="Times New Roman" w:eastAsia="Times New Roman" w:hAnsi="Times New Roman"/>
          <w:color w:val="000000"/>
          <w:kern w:val="24"/>
        </w:rPr>
        <w:t>-2,744</w:t>
      </w:r>
      <w:r>
        <w:rPr>
          <w:rFonts w:ascii="Times New Roman" w:eastAsia="Times New Roman" w:hAnsi="Times New Roman"/>
          <w:color w:val="000000"/>
          <w:kern w:val="24"/>
        </w:rPr>
        <w:t xml:space="preserve"> students).</w:t>
      </w:r>
    </w:p>
    <w:p w:rsidR="006878FE" w:rsidRPr="00271AE5" w:rsidRDefault="006878FE" w:rsidP="006878FE">
      <w:pPr>
        <w:autoSpaceDE w:val="0"/>
        <w:autoSpaceDN w:val="0"/>
        <w:adjustRightInd w:val="0"/>
        <w:rPr>
          <w:sz w:val="30"/>
          <w:szCs w:val="30"/>
        </w:rPr>
      </w:pPr>
    </w:p>
    <w:p w:rsidR="00322154" w:rsidRPr="00271AE5" w:rsidRDefault="00322154" w:rsidP="00322154">
      <w:pPr>
        <w:autoSpaceDE w:val="0"/>
        <w:autoSpaceDN w:val="0"/>
        <w:adjustRightInd w:val="0"/>
        <w:jc w:val="center"/>
        <w:rPr>
          <w:sz w:val="22"/>
          <w:szCs w:val="22"/>
        </w:rPr>
      </w:pPr>
    </w:p>
    <w:p w:rsidR="00EE1E25" w:rsidRPr="00271AE5" w:rsidRDefault="0027466C">
      <w:pPr>
        <w:rPr>
          <w:sz w:val="22"/>
          <w:szCs w:val="22"/>
        </w:rPr>
      </w:pPr>
      <w:r>
        <w:rPr>
          <w:noProof/>
        </w:rPr>
        <w:drawing>
          <wp:inline distT="0" distB="0" distL="0" distR="0" wp14:anchorId="14FE978B" wp14:editId="06087243">
            <wp:extent cx="8229600" cy="3657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1E25" w:rsidRPr="00271AE5">
        <w:rPr>
          <w:sz w:val="22"/>
          <w:szCs w:val="22"/>
        </w:rPr>
        <w:br w:type="page"/>
      </w:r>
    </w:p>
    <w:p w:rsidR="00A26BDF" w:rsidRPr="004B15B5" w:rsidRDefault="00A26BDF" w:rsidP="00FB2D5C">
      <w:pPr>
        <w:pStyle w:val="Heading1"/>
      </w:pPr>
      <w:r w:rsidRPr="004B15B5">
        <w:lastRenderedPageBreak/>
        <w:t>Headcount by Age</w:t>
      </w:r>
      <w:r w:rsidR="00FB2D5C">
        <w:t xml:space="preserve"> Group</w:t>
      </w:r>
    </w:p>
    <w:p w:rsidR="00A26BDF" w:rsidRPr="004B15B5" w:rsidRDefault="00A26BDF" w:rsidP="006878FE">
      <w:pPr>
        <w:rPr>
          <w:sz w:val="22"/>
          <w:szCs w:val="22"/>
        </w:rPr>
      </w:pPr>
    </w:p>
    <w:p w:rsidR="006878FE" w:rsidRPr="004B15B5" w:rsidRDefault="00D96292" w:rsidP="006878FE">
      <w:pPr>
        <w:rPr>
          <w:sz w:val="22"/>
          <w:szCs w:val="22"/>
        </w:rPr>
      </w:pPr>
      <w:r>
        <w:rPr>
          <w:sz w:val="22"/>
          <w:szCs w:val="22"/>
        </w:rPr>
        <w:t xml:space="preserve">The largest </w:t>
      </w:r>
      <w:r w:rsidR="00802A7E">
        <w:rPr>
          <w:sz w:val="22"/>
          <w:szCs w:val="22"/>
        </w:rPr>
        <w:t xml:space="preserve">number </w:t>
      </w:r>
      <w:r>
        <w:rPr>
          <w:sz w:val="22"/>
          <w:szCs w:val="22"/>
        </w:rPr>
        <w:t>decline in h</w:t>
      </w:r>
      <w:r w:rsidR="00322154" w:rsidRPr="004B15B5">
        <w:rPr>
          <w:sz w:val="22"/>
          <w:szCs w:val="22"/>
        </w:rPr>
        <w:t xml:space="preserve">eadcount </w:t>
      </w:r>
      <w:r>
        <w:rPr>
          <w:sz w:val="22"/>
          <w:szCs w:val="22"/>
        </w:rPr>
        <w:t>was in the 20</w:t>
      </w:r>
      <w:r w:rsidR="00802A7E">
        <w:rPr>
          <w:sz w:val="22"/>
          <w:szCs w:val="22"/>
        </w:rPr>
        <w:t>-24</w:t>
      </w:r>
      <w:r>
        <w:rPr>
          <w:sz w:val="22"/>
          <w:szCs w:val="22"/>
        </w:rPr>
        <w:t xml:space="preserve"> age </w:t>
      </w:r>
      <w:proofErr w:type="gramStart"/>
      <w:r>
        <w:rPr>
          <w:sz w:val="22"/>
          <w:szCs w:val="22"/>
        </w:rPr>
        <w:t>group</w:t>
      </w:r>
      <w:proofErr w:type="gramEnd"/>
      <w:r w:rsidR="00C16DFE">
        <w:rPr>
          <w:sz w:val="22"/>
          <w:szCs w:val="22"/>
        </w:rPr>
        <w:t xml:space="preserve">. </w:t>
      </w:r>
      <w:r>
        <w:rPr>
          <w:sz w:val="22"/>
          <w:szCs w:val="22"/>
        </w:rPr>
        <w:t xml:space="preserve">The </w:t>
      </w:r>
      <w:r w:rsidR="00802A7E">
        <w:rPr>
          <w:sz w:val="22"/>
          <w:szCs w:val="22"/>
        </w:rPr>
        <w:t xml:space="preserve">largest percent </w:t>
      </w:r>
      <w:r>
        <w:rPr>
          <w:sz w:val="22"/>
          <w:szCs w:val="22"/>
        </w:rPr>
        <w:t>decline</w:t>
      </w:r>
      <w:r w:rsidR="00802A7E">
        <w:rPr>
          <w:sz w:val="22"/>
          <w:szCs w:val="22"/>
        </w:rPr>
        <w:t>s</w:t>
      </w:r>
      <w:r>
        <w:rPr>
          <w:sz w:val="22"/>
          <w:szCs w:val="22"/>
        </w:rPr>
        <w:t xml:space="preserve"> </w:t>
      </w:r>
      <w:r w:rsidR="00802A7E">
        <w:rPr>
          <w:sz w:val="22"/>
          <w:szCs w:val="22"/>
        </w:rPr>
        <w:t>were in the age groups 40 and over</w:t>
      </w:r>
      <w:r w:rsidR="00C16DFE">
        <w:rPr>
          <w:sz w:val="22"/>
          <w:szCs w:val="22"/>
        </w:rPr>
        <w:t xml:space="preserve">. </w:t>
      </w:r>
      <w:r w:rsidR="00802A7E">
        <w:rPr>
          <w:sz w:val="22"/>
          <w:szCs w:val="22"/>
        </w:rPr>
        <w:t xml:space="preserve"> The rise in the </w:t>
      </w:r>
      <w:proofErr w:type="gramStart"/>
      <w:r w:rsidR="00802A7E">
        <w:rPr>
          <w:sz w:val="22"/>
          <w:szCs w:val="22"/>
        </w:rPr>
        <w:t>under</w:t>
      </w:r>
      <w:proofErr w:type="gramEnd"/>
      <w:r w:rsidR="00802A7E">
        <w:rPr>
          <w:sz w:val="22"/>
          <w:szCs w:val="22"/>
        </w:rPr>
        <w:t xml:space="preserve"> 20 age group headcount is likely due to the continued increase in Running Start and other dual credit high school enrollment</w:t>
      </w:r>
      <w:r w:rsidR="00DD0F13">
        <w:rPr>
          <w:sz w:val="22"/>
          <w:szCs w:val="22"/>
        </w:rPr>
        <w:t xml:space="preserve">. </w:t>
      </w:r>
    </w:p>
    <w:p w:rsidR="00831D84" w:rsidRPr="004B15B5" w:rsidRDefault="00831D84" w:rsidP="006878FE">
      <w:pPr>
        <w:rPr>
          <w:sz w:val="22"/>
          <w:szCs w:val="22"/>
        </w:rPr>
      </w:pPr>
    </w:p>
    <w:p w:rsidR="006878FE" w:rsidRPr="004B15B5" w:rsidRDefault="004B15B5" w:rsidP="00DB1F94">
      <w:pPr>
        <w:jc w:val="center"/>
        <w:rPr>
          <w:noProof/>
          <w:sz w:val="30"/>
          <w:szCs w:val="30"/>
        </w:rPr>
      </w:pPr>
      <w:r>
        <w:rPr>
          <w:noProof/>
        </w:rPr>
        <w:drawing>
          <wp:inline distT="0" distB="0" distL="0" distR="0" wp14:anchorId="0D1421C0" wp14:editId="585F7912">
            <wp:extent cx="7772400" cy="2286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78FE" w:rsidRPr="004B15B5" w:rsidRDefault="006878FE" w:rsidP="006878FE">
      <w:pPr>
        <w:rPr>
          <w:b/>
          <w:i/>
          <w:noProof/>
          <w:sz w:val="30"/>
          <w:szCs w:val="30"/>
        </w:rPr>
      </w:pPr>
    </w:p>
    <w:p w:rsidR="00EE1E25" w:rsidRPr="004B15B5" w:rsidRDefault="00D96292" w:rsidP="00D96292">
      <w:pPr>
        <w:jc w:val="center"/>
        <w:rPr>
          <w:rFonts w:ascii="Gill Sans MT" w:hAnsi="Gill Sans MT"/>
          <w:b/>
          <w:noProof/>
        </w:rPr>
      </w:pPr>
      <w:r>
        <w:rPr>
          <w:noProof/>
        </w:rPr>
        <w:drawing>
          <wp:inline distT="0" distB="0" distL="0" distR="0" wp14:anchorId="340B89E5" wp14:editId="39B5F0B5">
            <wp:extent cx="7772400" cy="2286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0305" w:rsidRDefault="00170305" w:rsidP="00203118">
      <w:pPr>
        <w:rPr>
          <w:rFonts w:ascii="Gill Sans MT" w:hAnsi="Gill Sans MT"/>
          <w:b/>
        </w:rPr>
      </w:pPr>
    </w:p>
    <w:p w:rsidR="00FB2D5C" w:rsidRPr="004B15B5" w:rsidRDefault="00FB2D5C" w:rsidP="00FB2D5C">
      <w:pPr>
        <w:pStyle w:val="Heading1"/>
        <w:spacing w:before="120"/>
      </w:pPr>
      <w:r>
        <w:lastRenderedPageBreak/>
        <w:t>Student</w:t>
      </w:r>
      <w:r w:rsidRPr="004B15B5">
        <w:t xml:space="preserve"> </w:t>
      </w:r>
      <w:r>
        <w:t>Demographics</w:t>
      </w:r>
    </w:p>
    <w:p w:rsidR="00FB2D5C" w:rsidRDefault="00FB2D5C" w:rsidP="00FB2D5C">
      <w:pPr>
        <w:rPr>
          <w:noProof/>
        </w:rPr>
      </w:pPr>
    </w:p>
    <w:p w:rsidR="00FB2D5C" w:rsidRDefault="00FB2D5C" w:rsidP="00FB2D5C">
      <w:pPr>
        <w:autoSpaceDE w:val="0"/>
        <w:autoSpaceDN w:val="0"/>
        <w:adjustRightInd w:val="0"/>
        <w:rPr>
          <w:sz w:val="22"/>
          <w:szCs w:val="22"/>
        </w:rPr>
      </w:pPr>
      <w:r>
        <w:rPr>
          <w:sz w:val="22"/>
          <w:szCs w:val="22"/>
        </w:rPr>
        <w:t xml:space="preserve">Student demographics have remained fairly consistent </w:t>
      </w:r>
      <w:r w:rsidR="00C92DE7">
        <w:rPr>
          <w:sz w:val="22"/>
          <w:szCs w:val="22"/>
        </w:rPr>
        <w:t>over the past few</w:t>
      </w:r>
      <w:r>
        <w:rPr>
          <w:sz w:val="22"/>
          <w:szCs w:val="22"/>
        </w:rPr>
        <w:t xml:space="preserve"> </w:t>
      </w:r>
      <w:r w:rsidR="00C92DE7">
        <w:rPr>
          <w:sz w:val="22"/>
          <w:szCs w:val="22"/>
        </w:rPr>
        <w:t>fall quarter</w:t>
      </w:r>
      <w:r>
        <w:rPr>
          <w:sz w:val="22"/>
          <w:szCs w:val="22"/>
        </w:rPr>
        <w:t xml:space="preserve">s.  The percent of students of color has gradually grown over the past several years, </w:t>
      </w:r>
      <w:r w:rsidR="00F64780">
        <w:rPr>
          <w:sz w:val="22"/>
          <w:szCs w:val="22"/>
        </w:rPr>
        <w:t xml:space="preserve">but has stayed around 39 or </w:t>
      </w:r>
      <w:r>
        <w:rPr>
          <w:sz w:val="22"/>
          <w:szCs w:val="22"/>
        </w:rPr>
        <w:t>4</w:t>
      </w:r>
      <w:r w:rsidR="00C92DE7">
        <w:rPr>
          <w:sz w:val="22"/>
          <w:szCs w:val="22"/>
        </w:rPr>
        <w:t>0</w:t>
      </w:r>
      <w:r>
        <w:rPr>
          <w:sz w:val="22"/>
          <w:szCs w:val="22"/>
        </w:rPr>
        <w:t xml:space="preserve"> percent of students </w:t>
      </w:r>
      <w:r w:rsidR="00F64780">
        <w:rPr>
          <w:sz w:val="22"/>
          <w:szCs w:val="22"/>
        </w:rPr>
        <w:t>for the past four fall quarters</w:t>
      </w:r>
      <w:r>
        <w:rPr>
          <w:sz w:val="22"/>
          <w:szCs w:val="22"/>
        </w:rPr>
        <w:t xml:space="preserve">. Students who identify as African American/Black, Hispanic/Latino, Native American, or Pacific Islander </w:t>
      </w:r>
      <w:r w:rsidR="0015762F">
        <w:rPr>
          <w:sz w:val="22"/>
          <w:szCs w:val="22"/>
        </w:rPr>
        <w:t xml:space="preserve">have historically </w:t>
      </w:r>
      <w:r w:rsidR="00C92DE7">
        <w:rPr>
          <w:sz w:val="22"/>
          <w:szCs w:val="22"/>
        </w:rPr>
        <w:t xml:space="preserve">been </w:t>
      </w:r>
      <w:r>
        <w:rPr>
          <w:sz w:val="22"/>
          <w:szCs w:val="22"/>
        </w:rPr>
        <w:t>under-represented in terms of college attainment. The</w:t>
      </w:r>
      <w:r w:rsidR="00C92DE7">
        <w:rPr>
          <w:sz w:val="22"/>
          <w:szCs w:val="22"/>
        </w:rPr>
        <w:t xml:space="preserve"> percent of students from the</w:t>
      </w:r>
      <w:r>
        <w:rPr>
          <w:sz w:val="22"/>
          <w:szCs w:val="22"/>
        </w:rPr>
        <w:t xml:space="preserve">se </w:t>
      </w:r>
      <w:r w:rsidR="00C92DE7">
        <w:rPr>
          <w:sz w:val="22"/>
          <w:szCs w:val="22"/>
        </w:rPr>
        <w:t xml:space="preserve">historically </w:t>
      </w:r>
      <w:r>
        <w:rPr>
          <w:sz w:val="22"/>
          <w:szCs w:val="22"/>
        </w:rPr>
        <w:t xml:space="preserve">under-represented groups </w:t>
      </w:r>
      <w:r w:rsidR="00C92DE7">
        <w:rPr>
          <w:sz w:val="22"/>
          <w:szCs w:val="22"/>
        </w:rPr>
        <w:t xml:space="preserve">has also gradually grown over the past several years, </w:t>
      </w:r>
      <w:r w:rsidR="00F64780">
        <w:rPr>
          <w:sz w:val="22"/>
          <w:szCs w:val="22"/>
        </w:rPr>
        <w:t>but has stayed around 2</w:t>
      </w:r>
      <w:r w:rsidR="00C92DE7">
        <w:rPr>
          <w:sz w:val="22"/>
          <w:szCs w:val="22"/>
        </w:rPr>
        <w:t>6</w:t>
      </w:r>
      <w:r w:rsidR="00F64780">
        <w:rPr>
          <w:sz w:val="22"/>
          <w:szCs w:val="22"/>
        </w:rPr>
        <w:t xml:space="preserve"> or 27 percent for the past four fall quarters</w:t>
      </w:r>
      <w:r>
        <w:rPr>
          <w:sz w:val="22"/>
          <w:szCs w:val="22"/>
        </w:rPr>
        <w:t>.</w:t>
      </w:r>
      <w:r w:rsidR="00C92DE7">
        <w:rPr>
          <w:sz w:val="22"/>
          <w:szCs w:val="22"/>
        </w:rPr>
        <w:t xml:space="preserve"> The relative percent of all students coming as new college students is growing gradually, 21 percent of student in fall 2016.  The percent of students with children is declining gradually, 24 percent of students in fall 2016, as well as the median age, 24.4 in fall 2016.  Both of these patterns may be a reflection of the colleges serving more dual credit high school students.</w:t>
      </w:r>
    </w:p>
    <w:p w:rsidR="00FB2D5C" w:rsidRPr="00AD096B" w:rsidRDefault="00FB2D5C" w:rsidP="00FB2D5C">
      <w:pPr>
        <w:autoSpaceDE w:val="0"/>
        <w:autoSpaceDN w:val="0"/>
        <w:adjustRightInd w:val="0"/>
        <w:rPr>
          <w:sz w:val="30"/>
          <w:szCs w:val="30"/>
        </w:rPr>
      </w:pPr>
      <w:r w:rsidRPr="00AD096B">
        <w:rPr>
          <w:sz w:val="30"/>
          <w:szCs w:val="30"/>
        </w:rPr>
        <w:t xml:space="preserve"> </w:t>
      </w:r>
    </w:p>
    <w:tbl>
      <w:tblPr>
        <w:tblStyle w:val="MediumShading1-Accent1"/>
        <w:tblW w:w="11684" w:type="dxa"/>
        <w:tblLayout w:type="fixed"/>
        <w:tblLook w:val="04A0" w:firstRow="1" w:lastRow="0" w:firstColumn="1" w:lastColumn="0" w:noHBand="0" w:noVBand="1"/>
      </w:tblPr>
      <w:tblGrid>
        <w:gridCol w:w="5145"/>
        <w:gridCol w:w="1296"/>
        <w:gridCol w:w="1255"/>
        <w:gridCol w:w="1337"/>
        <w:gridCol w:w="1314"/>
        <w:gridCol w:w="1337"/>
      </w:tblGrid>
      <w:tr w:rsidR="0015762F" w:rsidTr="0015762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145" w:type="dxa"/>
            <w:noWrap/>
            <w:hideMark/>
          </w:tcPr>
          <w:p w:rsidR="0015762F" w:rsidRDefault="0015762F" w:rsidP="00F6138A">
            <w:pPr>
              <w:rPr>
                <w:rFonts w:ascii="Calibri" w:hAnsi="Calibri"/>
                <w:b w:val="0"/>
                <w:bCs w:val="0"/>
                <w:color w:val="000000"/>
                <w:sz w:val="22"/>
                <w:szCs w:val="22"/>
              </w:rPr>
            </w:pPr>
          </w:p>
        </w:tc>
        <w:tc>
          <w:tcPr>
            <w:tcW w:w="1296" w:type="dxa"/>
            <w:noWrap/>
            <w:vAlign w:val="center"/>
            <w:hideMark/>
          </w:tcPr>
          <w:p w:rsidR="0015762F" w:rsidRPr="0015762F" w:rsidRDefault="0015762F" w:rsidP="0015762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15762F">
              <w:rPr>
                <w:rFonts w:ascii="Calibri" w:hAnsi="Calibri"/>
                <w:bCs w:val="0"/>
                <w:color w:val="auto"/>
                <w:sz w:val="22"/>
                <w:szCs w:val="22"/>
              </w:rPr>
              <w:t>2012</w:t>
            </w:r>
          </w:p>
        </w:tc>
        <w:tc>
          <w:tcPr>
            <w:tcW w:w="1255" w:type="dxa"/>
            <w:noWrap/>
            <w:vAlign w:val="center"/>
            <w:hideMark/>
          </w:tcPr>
          <w:p w:rsidR="0015762F" w:rsidRPr="0015762F" w:rsidRDefault="0015762F" w:rsidP="0015762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15762F">
              <w:rPr>
                <w:rFonts w:ascii="Calibri" w:hAnsi="Calibri"/>
                <w:bCs w:val="0"/>
                <w:color w:val="auto"/>
                <w:sz w:val="22"/>
                <w:szCs w:val="22"/>
              </w:rPr>
              <w:t>2013</w:t>
            </w:r>
          </w:p>
        </w:tc>
        <w:tc>
          <w:tcPr>
            <w:tcW w:w="1337" w:type="dxa"/>
            <w:vAlign w:val="center"/>
          </w:tcPr>
          <w:p w:rsidR="0015762F" w:rsidRPr="0015762F" w:rsidRDefault="0015762F" w:rsidP="0015762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15762F">
              <w:rPr>
                <w:rFonts w:ascii="Calibri" w:hAnsi="Calibri"/>
                <w:bCs w:val="0"/>
                <w:color w:val="auto"/>
                <w:sz w:val="22"/>
                <w:szCs w:val="22"/>
              </w:rPr>
              <w:t>2014</w:t>
            </w:r>
          </w:p>
        </w:tc>
        <w:tc>
          <w:tcPr>
            <w:tcW w:w="1314" w:type="dxa"/>
            <w:vAlign w:val="center"/>
          </w:tcPr>
          <w:p w:rsidR="0015762F" w:rsidRPr="0015762F" w:rsidRDefault="0015762F" w:rsidP="0015762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15762F">
              <w:rPr>
                <w:rFonts w:ascii="Calibri" w:hAnsi="Calibri"/>
                <w:bCs w:val="0"/>
                <w:color w:val="auto"/>
                <w:sz w:val="22"/>
                <w:szCs w:val="22"/>
              </w:rPr>
              <w:t>2015</w:t>
            </w:r>
          </w:p>
        </w:tc>
        <w:tc>
          <w:tcPr>
            <w:tcW w:w="1337" w:type="dxa"/>
            <w:vAlign w:val="center"/>
          </w:tcPr>
          <w:p w:rsidR="0015762F" w:rsidRPr="0015762F" w:rsidRDefault="0015762F" w:rsidP="0015762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2"/>
                <w:szCs w:val="22"/>
              </w:rPr>
            </w:pPr>
            <w:r w:rsidRPr="0015762F">
              <w:rPr>
                <w:rFonts w:ascii="Calibri" w:hAnsi="Calibri"/>
                <w:bCs w:val="0"/>
                <w:color w:val="auto"/>
                <w:sz w:val="22"/>
                <w:szCs w:val="22"/>
              </w:rPr>
              <w:t>2016</w:t>
            </w:r>
          </w:p>
        </w:tc>
      </w:tr>
      <w:tr w:rsidR="005264E8" w:rsidTr="001C15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hideMark/>
          </w:tcPr>
          <w:p w:rsidR="005264E8" w:rsidRPr="0015762F" w:rsidRDefault="005264E8" w:rsidP="0015762F">
            <w:pPr>
              <w:rPr>
                <w:rFonts w:ascii="Calibri" w:hAnsi="Calibri"/>
                <w:b w:val="0"/>
                <w:color w:val="000000"/>
                <w:sz w:val="22"/>
                <w:szCs w:val="22"/>
              </w:rPr>
            </w:pPr>
            <w:r w:rsidRPr="0015762F">
              <w:rPr>
                <w:rFonts w:ascii="Calibri" w:hAnsi="Calibri"/>
                <w:b w:val="0"/>
                <w:color w:val="000000"/>
                <w:sz w:val="22"/>
                <w:szCs w:val="22"/>
              </w:rPr>
              <w:t>Total H</w:t>
            </w:r>
            <w:r>
              <w:rPr>
                <w:rFonts w:ascii="Calibri" w:hAnsi="Calibri"/>
                <w:b w:val="0"/>
                <w:color w:val="000000"/>
                <w:sz w:val="22"/>
                <w:szCs w:val="22"/>
              </w:rPr>
              <w:t>eadcount</w:t>
            </w:r>
          </w:p>
        </w:tc>
        <w:tc>
          <w:tcPr>
            <w:tcW w:w="1296"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238,276</w:t>
            </w:r>
          </w:p>
        </w:tc>
        <w:tc>
          <w:tcPr>
            <w:tcW w:w="1255"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234,447</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231,377</w:t>
            </w:r>
          </w:p>
        </w:tc>
        <w:tc>
          <w:tcPr>
            <w:tcW w:w="1314"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232,250</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227,496</w:t>
            </w:r>
          </w:p>
        </w:tc>
      </w:tr>
      <w:tr w:rsidR="005264E8" w:rsidTr="001C15E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hideMark/>
          </w:tcPr>
          <w:p w:rsidR="005264E8" w:rsidRPr="0015762F" w:rsidRDefault="005264E8" w:rsidP="00F6138A">
            <w:pPr>
              <w:rPr>
                <w:rFonts w:ascii="Calibri" w:hAnsi="Calibri"/>
                <w:b w:val="0"/>
                <w:color w:val="000000"/>
                <w:sz w:val="22"/>
                <w:szCs w:val="22"/>
              </w:rPr>
            </w:pPr>
            <w:r w:rsidRPr="0015762F">
              <w:rPr>
                <w:rFonts w:ascii="Calibri" w:hAnsi="Calibri"/>
                <w:b w:val="0"/>
                <w:color w:val="000000"/>
                <w:sz w:val="22"/>
                <w:szCs w:val="22"/>
              </w:rPr>
              <w:t>% Female</w:t>
            </w:r>
          </w:p>
        </w:tc>
        <w:tc>
          <w:tcPr>
            <w:tcW w:w="1296"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56%</w:t>
            </w:r>
          </w:p>
        </w:tc>
        <w:tc>
          <w:tcPr>
            <w:tcW w:w="1255"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56%</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314"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r>
      <w:tr w:rsidR="005264E8" w:rsidTr="001C15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hideMark/>
          </w:tcPr>
          <w:p w:rsidR="005264E8" w:rsidRPr="0015762F" w:rsidRDefault="005264E8" w:rsidP="00F6138A">
            <w:pPr>
              <w:rPr>
                <w:rFonts w:ascii="Calibri" w:hAnsi="Calibri"/>
                <w:b w:val="0"/>
                <w:color w:val="000000"/>
                <w:sz w:val="22"/>
                <w:szCs w:val="22"/>
              </w:rPr>
            </w:pPr>
            <w:r w:rsidRPr="0015762F">
              <w:rPr>
                <w:rFonts w:ascii="Calibri" w:hAnsi="Calibri"/>
                <w:b w:val="0"/>
                <w:color w:val="000000"/>
                <w:sz w:val="22"/>
                <w:szCs w:val="22"/>
              </w:rPr>
              <w:t>% Students of Color</w:t>
            </w:r>
          </w:p>
        </w:tc>
        <w:tc>
          <w:tcPr>
            <w:tcW w:w="1296"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1255"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w:t>
            </w:r>
          </w:p>
        </w:tc>
        <w:tc>
          <w:tcPr>
            <w:tcW w:w="1314"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w:t>
            </w:r>
          </w:p>
        </w:tc>
      </w:tr>
      <w:tr w:rsidR="005264E8" w:rsidTr="001C15E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hideMark/>
          </w:tcPr>
          <w:p w:rsidR="005264E8" w:rsidRPr="0015762F" w:rsidRDefault="005264E8" w:rsidP="00F6138A">
            <w:pPr>
              <w:rPr>
                <w:rFonts w:ascii="Calibri" w:hAnsi="Calibri"/>
                <w:b w:val="0"/>
                <w:color w:val="000000"/>
                <w:sz w:val="22"/>
                <w:szCs w:val="22"/>
              </w:rPr>
            </w:pPr>
            <w:r w:rsidRPr="0015762F">
              <w:rPr>
                <w:rFonts w:ascii="Calibri" w:hAnsi="Calibri"/>
                <w:b w:val="0"/>
                <w:color w:val="000000"/>
                <w:sz w:val="22"/>
                <w:szCs w:val="22"/>
              </w:rPr>
              <w:t>% Historically Under-Represented Students of Color</w:t>
            </w:r>
          </w:p>
        </w:tc>
        <w:tc>
          <w:tcPr>
            <w:tcW w:w="1296"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255"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27%</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27%</w:t>
            </w:r>
          </w:p>
        </w:tc>
        <w:tc>
          <w:tcPr>
            <w:tcW w:w="1314"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r>
      <w:tr w:rsidR="005264E8" w:rsidTr="001C15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hideMark/>
          </w:tcPr>
          <w:p w:rsidR="005264E8" w:rsidRPr="0015762F" w:rsidRDefault="005264E8" w:rsidP="00F6138A">
            <w:pPr>
              <w:rPr>
                <w:rFonts w:ascii="Calibri" w:hAnsi="Calibri"/>
                <w:b w:val="0"/>
                <w:color w:val="000000"/>
                <w:sz w:val="22"/>
                <w:szCs w:val="22"/>
              </w:rPr>
            </w:pPr>
            <w:r w:rsidRPr="0015762F">
              <w:rPr>
                <w:rFonts w:ascii="Calibri" w:hAnsi="Calibri"/>
                <w:b w:val="0"/>
                <w:color w:val="000000"/>
                <w:sz w:val="22"/>
                <w:szCs w:val="22"/>
              </w:rPr>
              <w:t>% Full-Time</w:t>
            </w:r>
          </w:p>
        </w:tc>
        <w:tc>
          <w:tcPr>
            <w:tcW w:w="1296"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w:t>
            </w:r>
          </w:p>
        </w:tc>
        <w:tc>
          <w:tcPr>
            <w:tcW w:w="1255"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49%</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49%</w:t>
            </w:r>
          </w:p>
        </w:tc>
        <w:tc>
          <w:tcPr>
            <w:tcW w:w="1314"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w:t>
            </w:r>
          </w:p>
        </w:tc>
      </w:tr>
      <w:tr w:rsidR="005264E8" w:rsidTr="001C15E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tcPr>
          <w:p w:rsidR="005264E8" w:rsidRPr="0015762F" w:rsidRDefault="005264E8" w:rsidP="00F6138A">
            <w:pPr>
              <w:rPr>
                <w:rFonts w:ascii="Calibri" w:hAnsi="Calibri"/>
                <w:b w:val="0"/>
                <w:color w:val="000000"/>
                <w:sz w:val="22"/>
                <w:szCs w:val="22"/>
              </w:rPr>
            </w:pPr>
            <w:r>
              <w:rPr>
                <w:rFonts w:ascii="Calibri" w:hAnsi="Calibri"/>
                <w:b w:val="0"/>
                <w:color w:val="000000"/>
                <w:sz w:val="22"/>
                <w:szCs w:val="22"/>
              </w:rPr>
              <w:t>% New Students</w:t>
            </w:r>
          </w:p>
        </w:tc>
        <w:tc>
          <w:tcPr>
            <w:tcW w:w="1296"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c>
          <w:tcPr>
            <w:tcW w:w="1255"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20%</w:t>
            </w:r>
          </w:p>
        </w:tc>
        <w:tc>
          <w:tcPr>
            <w:tcW w:w="1314"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21%</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21%</w:t>
            </w:r>
          </w:p>
        </w:tc>
      </w:tr>
      <w:tr w:rsidR="005264E8" w:rsidTr="001C15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hideMark/>
          </w:tcPr>
          <w:p w:rsidR="005264E8" w:rsidRPr="0015762F" w:rsidRDefault="005264E8" w:rsidP="00F6138A">
            <w:pPr>
              <w:rPr>
                <w:rFonts w:ascii="Calibri" w:hAnsi="Calibri"/>
                <w:b w:val="0"/>
                <w:color w:val="000000"/>
                <w:sz w:val="22"/>
                <w:szCs w:val="22"/>
              </w:rPr>
            </w:pPr>
            <w:r w:rsidRPr="0015762F">
              <w:rPr>
                <w:rFonts w:ascii="Calibri" w:hAnsi="Calibri"/>
                <w:b w:val="0"/>
                <w:color w:val="000000"/>
                <w:sz w:val="22"/>
                <w:szCs w:val="22"/>
              </w:rPr>
              <w:t>% With Children</w:t>
            </w:r>
          </w:p>
        </w:tc>
        <w:tc>
          <w:tcPr>
            <w:tcW w:w="1296"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c>
          <w:tcPr>
            <w:tcW w:w="1255"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14"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w:t>
            </w:r>
          </w:p>
        </w:tc>
      </w:tr>
      <w:tr w:rsidR="005264E8" w:rsidTr="001C15E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tcPr>
          <w:p w:rsidR="005264E8" w:rsidRPr="0015762F" w:rsidRDefault="005264E8" w:rsidP="00F6138A">
            <w:pPr>
              <w:rPr>
                <w:rFonts w:ascii="Calibri" w:hAnsi="Calibri"/>
                <w:b w:val="0"/>
                <w:color w:val="000000"/>
                <w:sz w:val="22"/>
                <w:szCs w:val="22"/>
              </w:rPr>
            </w:pPr>
            <w:r>
              <w:rPr>
                <w:rFonts w:ascii="Calibri" w:hAnsi="Calibri"/>
                <w:b w:val="0"/>
                <w:color w:val="000000"/>
                <w:sz w:val="22"/>
                <w:szCs w:val="22"/>
              </w:rPr>
              <w:t>% Working</w:t>
            </w:r>
          </w:p>
        </w:tc>
        <w:tc>
          <w:tcPr>
            <w:tcW w:w="1296"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1255" w:type="dxa"/>
            <w:noWrap/>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tc>
        <w:tc>
          <w:tcPr>
            <w:tcW w:w="1314"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p>
        </w:tc>
        <w:tc>
          <w:tcPr>
            <w:tcW w:w="1337" w:type="dxa"/>
            <w:vAlign w:val="bottom"/>
          </w:tcPr>
          <w:p w:rsidR="005264E8" w:rsidRDefault="005264E8" w:rsidP="005264E8">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40%</w:t>
            </w:r>
          </w:p>
        </w:tc>
      </w:tr>
      <w:tr w:rsidR="005264E8" w:rsidTr="001C15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45" w:type="dxa"/>
            <w:noWrap/>
          </w:tcPr>
          <w:p w:rsidR="005264E8" w:rsidRPr="0015762F" w:rsidRDefault="005264E8" w:rsidP="00F6138A">
            <w:pPr>
              <w:rPr>
                <w:rFonts w:ascii="Calibri" w:hAnsi="Calibri"/>
                <w:b w:val="0"/>
                <w:color w:val="000000"/>
                <w:sz w:val="22"/>
                <w:szCs w:val="22"/>
              </w:rPr>
            </w:pPr>
            <w:r>
              <w:rPr>
                <w:rFonts w:ascii="Calibri" w:hAnsi="Calibri"/>
                <w:b w:val="0"/>
                <w:color w:val="000000"/>
                <w:sz w:val="22"/>
                <w:szCs w:val="22"/>
              </w:rPr>
              <w:t>Median Age</w:t>
            </w:r>
          </w:p>
        </w:tc>
        <w:tc>
          <w:tcPr>
            <w:tcW w:w="1296"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25.2</w:t>
            </w:r>
          </w:p>
        </w:tc>
        <w:tc>
          <w:tcPr>
            <w:tcW w:w="1255" w:type="dxa"/>
            <w:noWrap/>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24.7</w:t>
            </w:r>
          </w:p>
        </w:tc>
        <w:tc>
          <w:tcPr>
            <w:tcW w:w="1314"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bCs/>
                <w:color w:val="000000"/>
                <w:sz w:val="22"/>
                <w:szCs w:val="22"/>
              </w:rPr>
              <w:t>24.7</w:t>
            </w:r>
          </w:p>
        </w:tc>
        <w:tc>
          <w:tcPr>
            <w:tcW w:w="1337" w:type="dxa"/>
            <w:vAlign w:val="bottom"/>
          </w:tcPr>
          <w:p w:rsidR="005264E8" w:rsidRDefault="005264E8" w:rsidP="005264E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24.4</w:t>
            </w:r>
          </w:p>
        </w:tc>
      </w:tr>
    </w:tbl>
    <w:p w:rsidR="00FB2D5C" w:rsidRDefault="00FB2D5C">
      <w:pPr>
        <w:rPr>
          <w:rFonts w:ascii="Gill Sans MT" w:hAnsi="Gill Sans MT"/>
          <w:b/>
        </w:rPr>
      </w:pPr>
      <w:r>
        <w:rPr>
          <w:rFonts w:ascii="Gill Sans MT" w:hAnsi="Gill Sans MT"/>
          <w:b/>
        </w:rPr>
        <w:br w:type="page"/>
      </w:r>
    </w:p>
    <w:p w:rsidR="001477AD" w:rsidRPr="004B15B5" w:rsidRDefault="00BE22C3" w:rsidP="0015762F">
      <w:pPr>
        <w:pStyle w:val="Heading1"/>
      </w:pPr>
      <w:r>
        <w:rPr>
          <w:noProof/>
        </w:rPr>
        <w:lastRenderedPageBreak/>
        <w:drawing>
          <wp:anchor distT="0" distB="0" distL="114300" distR="114300" simplePos="0" relativeHeight="251696128" behindDoc="1" locked="0" layoutInCell="1" allowOverlap="1" wp14:anchorId="4325EA7D" wp14:editId="20A19D65">
            <wp:simplePos x="0" y="0"/>
            <wp:positionH relativeFrom="margin">
              <wp:align>right</wp:align>
            </wp:positionH>
            <wp:positionV relativeFrom="margin">
              <wp:align>top</wp:align>
            </wp:positionV>
            <wp:extent cx="3657600" cy="274320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477AD" w:rsidRPr="004B15B5">
        <w:t>Apprenticeship</w:t>
      </w:r>
    </w:p>
    <w:p w:rsidR="001477AD" w:rsidRPr="004B15B5" w:rsidRDefault="001477AD" w:rsidP="00203118">
      <w:pPr>
        <w:rPr>
          <w:b/>
          <w:i/>
          <w:sz w:val="22"/>
          <w:szCs w:val="22"/>
        </w:rPr>
      </w:pPr>
    </w:p>
    <w:p w:rsidR="001477AD" w:rsidRPr="004B15B5" w:rsidRDefault="001477AD" w:rsidP="00203118">
      <w:pPr>
        <w:rPr>
          <w:noProof/>
          <w:sz w:val="22"/>
          <w:szCs w:val="22"/>
          <w:lang w:eastAsia="zh-TW"/>
        </w:rPr>
      </w:pPr>
      <w:r w:rsidRPr="004B15B5">
        <w:rPr>
          <w:noProof/>
          <w:sz w:val="22"/>
          <w:szCs w:val="22"/>
          <w:lang w:eastAsia="zh-TW"/>
        </w:rPr>
        <w:t>Apprenticeships combine classroom studies with on-the-job training supervised by a journey-level craft person or trade professional.</w:t>
      </w:r>
      <w:r w:rsidRPr="004B15B5">
        <w:rPr>
          <w:rFonts w:ascii="Arial" w:hAnsi="Arial" w:cs="Arial"/>
          <w:sz w:val="22"/>
          <w:szCs w:val="22"/>
          <w:lang w:val="en"/>
        </w:rPr>
        <w:t xml:space="preserve"> </w:t>
      </w:r>
      <w:r w:rsidRPr="004B15B5">
        <w:rPr>
          <w:noProof/>
          <w:sz w:val="22"/>
          <w:szCs w:val="22"/>
          <w:lang w:eastAsia="zh-TW"/>
        </w:rPr>
        <w:t xml:space="preserve">Apprenticeship enrollments </w:t>
      </w:r>
      <w:r w:rsidR="006E00FE" w:rsidRPr="004B15B5">
        <w:rPr>
          <w:noProof/>
          <w:sz w:val="22"/>
          <w:szCs w:val="22"/>
          <w:lang w:eastAsia="zh-TW"/>
        </w:rPr>
        <w:t xml:space="preserve">fell </w:t>
      </w:r>
      <w:r w:rsidR="0039519A" w:rsidRPr="004B15B5">
        <w:rPr>
          <w:noProof/>
          <w:sz w:val="22"/>
          <w:szCs w:val="22"/>
          <w:lang w:eastAsia="zh-TW"/>
        </w:rPr>
        <w:t>throughout the recession, but st</w:t>
      </w:r>
      <w:r w:rsidR="0079294B">
        <w:rPr>
          <w:noProof/>
          <w:sz w:val="22"/>
          <w:szCs w:val="22"/>
          <w:lang w:eastAsia="zh-TW"/>
        </w:rPr>
        <w:t>a</w:t>
      </w:r>
      <w:r w:rsidR="0039519A" w:rsidRPr="004B15B5">
        <w:rPr>
          <w:noProof/>
          <w:sz w:val="22"/>
          <w:szCs w:val="22"/>
          <w:lang w:eastAsia="zh-TW"/>
        </w:rPr>
        <w:t>r</w:t>
      </w:r>
      <w:r w:rsidR="005E0A21" w:rsidRPr="004B15B5">
        <w:rPr>
          <w:noProof/>
          <w:sz w:val="22"/>
          <w:szCs w:val="22"/>
          <w:lang w:eastAsia="zh-TW"/>
        </w:rPr>
        <w:t>ted to turn</w:t>
      </w:r>
      <w:r w:rsidR="00C91C6C" w:rsidRPr="004B15B5">
        <w:rPr>
          <w:noProof/>
          <w:sz w:val="22"/>
          <w:szCs w:val="22"/>
          <w:lang w:eastAsia="zh-TW"/>
        </w:rPr>
        <w:t xml:space="preserve"> </w:t>
      </w:r>
      <w:r w:rsidR="005E0A21" w:rsidRPr="004B15B5">
        <w:rPr>
          <w:noProof/>
          <w:sz w:val="22"/>
          <w:szCs w:val="22"/>
          <w:lang w:eastAsia="zh-TW"/>
        </w:rPr>
        <w:t>around in</w:t>
      </w:r>
      <w:r w:rsidR="00C91C6C" w:rsidRPr="004B15B5">
        <w:rPr>
          <w:noProof/>
          <w:sz w:val="22"/>
          <w:szCs w:val="22"/>
          <w:lang w:eastAsia="zh-TW"/>
        </w:rPr>
        <w:t xml:space="preserve"> </w:t>
      </w:r>
      <w:r w:rsidR="005E0A21" w:rsidRPr="004B15B5">
        <w:rPr>
          <w:noProof/>
          <w:sz w:val="22"/>
          <w:szCs w:val="22"/>
          <w:lang w:eastAsia="zh-TW"/>
        </w:rPr>
        <w:t xml:space="preserve">fall 2013. </w:t>
      </w:r>
      <w:r w:rsidR="0039519A" w:rsidRPr="004B15B5">
        <w:rPr>
          <w:noProof/>
          <w:sz w:val="22"/>
          <w:szCs w:val="22"/>
          <w:lang w:eastAsia="zh-TW"/>
        </w:rPr>
        <w:t>The turn</w:t>
      </w:r>
      <w:r w:rsidR="00C91C6C" w:rsidRPr="004B15B5">
        <w:rPr>
          <w:noProof/>
          <w:sz w:val="22"/>
          <w:szCs w:val="22"/>
          <w:lang w:eastAsia="zh-TW"/>
        </w:rPr>
        <w:t xml:space="preserve"> </w:t>
      </w:r>
      <w:r w:rsidR="0039519A" w:rsidRPr="004B15B5">
        <w:rPr>
          <w:noProof/>
          <w:sz w:val="22"/>
          <w:szCs w:val="22"/>
          <w:lang w:eastAsia="zh-TW"/>
        </w:rPr>
        <w:t>around picked up</w:t>
      </w:r>
      <w:r w:rsidR="00C91C6C" w:rsidRPr="004B15B5">
        <w:rPr>
          <w:noProof/>
          <w:sz w:val="22"/>
          <w:szCs w:val="22"/>
          <w:lang w:eastAsia="zh-TW"/>
        </w:rPr>
        <w:t xml:space="preserve"> fas</w:t>
      </w:r>
      <w:r w:rsidR="005E0A21" w:rsidRPr="004B15B5">
        <w:rPr>
          <w:noProof/>
          <w:sz w:val="22"/>
          <w:szCs w:val="22"/>
          <w:lang w:eastAsia="zh-TW"/>
        </w:rPr>
        <w:t>ter in fall 2014</w:t>
      </w:r>
      <w:r w:rsidR="0079294B">
        <w:rPr>
          <w:noProof/>
          <w:sz w:val="22"/>
          <w:szCs w:val="22"/>
          <w:lang w:eastAsia="zh-TW"/>
        </w:rPr>
        <w:t xml:space="preserve"> and fall 2015</w:t>
      </w:r>
      <w:r w:rsidR="005E0A21" w:rsidRPr="004B15B5">
        <w:rPr>
          <w:noProof/>
          <w:sz w:val="22"/>
          <w:szCs w:val="22"/>
          <w:lang w:eastAsia="zh-TW"/>
        </w:rPr>
        <w:t xml:space="preserve">. </w:t>
      </w:r>
      <w:r w:rsidR="002360BE" w:rsidRPr="004B15B5">
        <w:rPr>
          <w:noProof/>
          <w:sz w:val="22"/>
          <w:szCs w:val="22"/>
          <w:lang w:eastAsia="zh-TW"/>
        </w:rPr>
        <w:t>Apprenticeship</w:t>
      </w:r>
      <w:r w:rsidR="0039519A" w:rsidRPr="004B15B5">
        <w:rPr>
          <w:noProof/>
          <w:sz w:val="22"/>
          <w:szCs w:val="22"/>
          <w:lang w:eastAsia="zh-TW"/>
        </w:rPr>
        <w:t xml:space="preserve"> increased </w:t>
      </w:r>
      <w:r w:rsidR="0079294B">
        <w:rPr>
          <w:noProof/>
          <w:sz w:val="22"/>
          <w:szCs w:val="22"/>
          <w:lang w:eastAsia="zh-TW"/>
        </w:rPr>
        <w:t>by</w:t>
      </w:r>
      <w:r w:rsidR="0039519A" w:rsidRPr="004B15B5">
        <w:rPr>
          <w:noProof/>
          <w:sz w:val="22"/>
          <w:szCs w:val="22"/>
          <w:lang w:eastAsia="zh-TW"/>
        </w:rPr>
        <w:t xml:space="preserve"> </w:t>
      </w:r>
      <w:r w:rsidR="007225EC">
        <w:rPr>
          <w:noProof/>
          <w:sz w:val="22"/>
          <w:szCs w:val="22"/>
          <w:lang w:eastAsia="zh-TW"/>
        </w:rPr>
        <w:t>15</w:t>
      </w:r>
      <w:r w:rsidR="00140ECF" w:rsidRPr="004B15B5">
        <w:rPr>
          <w:noProof/>
          <w:sz w:val="22"/>
          <w:szCs w:val="22"/>
          <w:lang w:eastAsia="zh-TW"/>
        </w:rPr>
        <w:t xml:space="preserve"> percent</w:t>
      </w:r>
      <w:r w:rsidR="007225EC">
        <w:rPr>
          <w:noProof/>
          <w:sz w:val="22"/>
          <w:szCs w:val="22"/>
          <w:lang w:eastAsia="zh-TW"/>
        </w:rPr>
        <w:t xml:space="preserve"> (448</w:t>
      </w:r>
      <w:r w:rsidR="0079294B">
        <w:rPr>
          <w:noProof/>
          <w:sz w:val="22"/>
          <w:szCs w:val="22"/>
          <w:lang w:eastAsia="zh-TW"/>
        </w:rPr>
        <w:t xml:space="preserve"> FTES) from fall 201</w:t>
      </w:r>
      <w:r w:rsidR="007225EC">
        <w:rPr>
          <w:noProof/>
          <w:sz w:val="22"/>
          <w:szCs w:val="22"/>
          <w:lang w:eastAsia="zh-TW"/>
        </w:rPr>
        <w:t>6</w:t>
      </w:r>
      <w:r w:rsidR="0039519A" w:rsidRPr="004B15B5">
        <w:rPr>
          <w:noProof/>
          <w:sz w:val="22"/>
          <w:szCs w:val="22"/>
          <w:lang w:eastAsia="zh-TW"/>
        </w:rPr>
        <w:t>.</w:t>
      </w:r>
      <w:r w:rsidR="005E0A21" w:rsidRPr="004B15B5">
        <w:rPr>
          <w:noProof/>
          <w:sz w:val="22"/>
          <w:szCs w:val="22"/>
          <w:lang w:eastAsia="zh-TW"/>
        </w:rPr>
        <w:t xml:space="preserve"> </w:t>
      </w:r>
    </w:p>
    <w:p w:rsidR="00D111A0" w:rsidRPr="004B15B5" w:rsidRDefault="00D111A0" w:rsidP="00203118">
      <w:pPr>
        <w:rPr>
          <w:noProof/>
          <w:sz w:val="22"/>
          <w:szCs w:val="22"/>
          <w:lang w:eastAsia="zh-TW"/>
        </w:rPr>
      </w:pPr>
    </w:p>
    <w:p w:rsidR="00DC45CE" w:rsidRPr="004B15B5" w:rsidRDefault="00DC45CE" w:rsidP="00203118">
      <w:pPr>
        <w:rPr>
          <w:noProof/>
          <w:lang w:eastAsia="zh-TW"/>
        </w:rPr>
      </w:pPr>
    </w:p>
    <w:p w:rsidR="001477AD" w:rsidRPr="004B15B5" w:rsidRDefault="001477AD" w:rsidP="0039519A">
      <w:pPr>
        <w:jc w:val="center"/>
        <w:rPr>
          <w:b/>
          <w:i/>
          <w:sz w:val="30"/>
          <w:szCs w:val="30"/>
        </w:rPr>
      </w:pPr>
    </w:p>
    <w:p w:rsidR="00BE22C3" w:rsidRDefault="00BE22C3" w:rsidP="00BE22C3">
      <w:pPr>
        <w:rPr>
          <w:rFonts w:ascii="Gill Sans MT" w:hAnsi="Gill Sans MT"/>
          <w:b/>
        </w:rPr>
      </w:pPr>
    </w:p>
    <w:p w:rsidR="00BE22C3" w:rsidRDefault="00BE22C3" w:rsidP="00BE22C3">
      <w:pPr>
        <w:rPr>
          <w:rFonts w:ascii="Gill Sans MT" w:hAnsi="Gill Sans MT"/>
          <w:b/>
        </w:rPr>
      </w:pPr>
    </w:p>
    <w:p w:rsidR="00BE22C3" w:rsidRDefault="00BE22C3" w:rsidP="00BE22C3">
      <w:pPr>
        <w:rPr>
          <w:rFonts w:ascii="Gill Sans MT" w:hAnsi="Gill Sans MT"/>
          <w:b/>
        </w:rPr>
      </w:pPr>
    </w:p>
    <w:p w:rsidR="00BE22C3" w:rsidRDefault="00BE22C3" w:rsidP="00BE22C3">
      <w:pPr>
        <w:rPr>
          <w:rFonts w:ascii="Gill Sans MT" w:hAnsi="Gill Sans MT"/>
          <w:b/>
        </w:rPr>
      </w:pPr>
    </w:p>
    <w:p w:rsidR="00BE22C3" w:rsidRDefault="00BE22C3" w:rsidP="00BE22C3">
      <w:pPr>
        <w:rPr>
          <w:rFonts w:ascii="Gill Sans MT" w:hAnsi="Gill Sans MT"/>
          <w:b/>
        </w:rPr>
      </w:pPr>
    </w:p>
    <w:p w:rsidR="00BE22C3" w:rsidRDefault="00BE22C3" w:rsidP="00BE22C3">
      <w:pPr>
        <w:rPr>
          <w:rFonts w:ascii="Gill Sans MT" w:hAnsi="Gill Sans MT"/>
          <w:b/>
        </w:rPr>
      </w:pPr>
    </w:p>
    <w:p w:rsidR="00BE22C3" w:rsidRDefault="00BE22C3" w:rsidP="00BE22C3">
      <w:pPr>
        <w:rPr>
          <w:rFonts w:ascii="Gill Sans MT" w:hAnsi="Gill Sans MT"/>
          <w:b/>
        </w:rPr>
      </w:pPr>
    </w:p>
    <w:p w:rsidR="00170305" w:rsidRDefault="00170305" w:rsidP="00BE22C3">
      <w:pPr>
        <w:rPr>
          <w:rFonts w:ascii="Gill Sans MT" w:hAnsi="Gill Sans MT"/>
          <w:b/>
        </w:rPr>
      </w:pPr>
    </w:p>
    <w:p w:rsidR="00BE22C3" w:rsidRPr="004B15B5" w:rsidRDefault="00BE22C3" w:rsidP="0015762F">
      <w:pPr>
        <w:pStyle w:val="Heading1"/>
      </w:pPr>
      <w:r w:rsidRPr="004B15B5">
        <w:t>Applied Baccalaureate</w:t>
      </w:r>
      <w:r w:rsidR="0079294B">
        <w:rPr>
          <w:noProof/>
        </w:rPr>
        <w:drawing>
          <wp:anchor distT="0" distB="0" distL="114300" distR="114300" simplePos="0" relativeHeight="251698176" behindDoc="1" locked="0" layoutInCell="1" allowOverlap="1" wp14:anchorId="6A8FD379" wp14:editId="2AB0AA71">
            <wp:simplePos x="0" y="0"/>
            <wp:positionH relativeFrom="margin">
              <wp:align>right</wp:align>
            </wp:positionH>
            <wp:positionV relativeFrom="margin">
              <wp:align>bottom</wp:align>
            </wp:positionV>
            <wp:extent cx="3657600" cy="2743200"/>
            <wp:effectExtent l="0" t="0" r="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E22C3" w:rsidRPr="004B15B5" w:rsidRDefault="00BE22C3" w:rsidP="00BE22C3">
      <w:pPr>
        <w:rPr>
          <w:sz w:val="22"/>
          <w:szCs w:val="22"/>
        </w:rPr>
      </w:pPr>
    </w:p>
    <w:p w:rsidR="00BE22C3" w:rsidRPr="004B15B5" w:rsidRDefault="007225EC" w:rsidP="00BE22C3">
      <w:pPr>
        <w:rPr>
          <w:sz w:val="22"/>
          <w:szCs w:val="22"/>
        </w:rPr>
      </w:pPr>
      <w:r>
        <w:rPr>
          <w:sz w:val="22"/>
          <w:szCs w:val="22"/>
        </w:rPr>
        <w:t>In fall 2016, 24</w:t>
      </w:r>
      <w:r w:rsidR="00BE22C3" w:rsidRPr="004B15B5">
        <w:rPr>
          <w:sz w:val="22"/>
          <w:szCs w:val="22"/>
        </w:rPr>
        <w:t xml:space="preserve"> community and technical colleges offered </w:t>
      </w:r>
      <w:r>
        <w:rPr>
          <w:sz w:val="22"/>
          <w:szCs w:val="22"/>
        </w:rPr>
        <w:t>54</w:t>
      </w:r>
      <w:r w:rsidR="00BE22C3" w:rsidRPr="004B15B5">
        <w:rPr>
          <w:sz w:val="22"/>
          <w:szCs w:val="22"/>
        </w:rPr>
        <w:t xml:space="preserve"> applied baccalaureate programs (</w:t>
      </w:r>
      <w:r>
        <w:rPr>
          <w:sz w:val="22"/>
          <w:szCs w:val="22"/>
        </w:rPr>
        <w:t>5 new colleges and 14</w:t>
      </w:r>
      <w:r w:rsidR="00170305">
        <w:rPr>
          <w:sz w:val="22"/>
          <w:szCs w:val="22"/>
        </w:rPr>
        <w:t xml:space="preserve"> new programs </w:t>
      </w:r>
      <w:r w:rsidR="00BE22C3" w:rsidRPr="004B15B5">
        <w:rPr>
          <w:sz w:val="22"/>
          <w:szCs w:val="22"/>
        </w:rPr>
        <w:t>since fall 201</w:t>
      </w:r>
      <w:r>
        <w:rPr>
          <w:sz w:val="22"/>
          <w:szCs w:val="22"/>
        </w:rPr>
        <w:t>5</w:t>
      </w:r>
      <w:r w:rsidR="00BE22C3" w:rsidRPr="004B15B5">
        <w:rPr>
          <w:sz w:val="22"/>
          <w:szCs w:val="22"/>
        </w:rPr>
        <w:t xml:space="preserve">). Pilot implementation of upper division course offerings for applied baccalaureate degrees began in 2007. Colleges enrolled </w:t>
      </w:r>
      <w:r>
        <w:rPr>
          <w:sz w:val="22"/>
          <w:szCs w:val="22"/>
        </w:rPr>
        <w:t>2,043</w:t>
      </w:r>
      <w:r w:rsidR="00BE22C3" w:rsidRPr="004B15B5">
        <w:rPr>
          <w:sz w:val="22"/>
          <w:szCs w:val="22"/>
        </w:rPr>
        <w:t xml:space="preserve"> </w:t>
      </w:r>
      <w:r w:rsidR="00170305">
        <w:rPr>
          <w:sz w:val="22"/>
          <w:szCs w:val="22"/>
        </w:rPr>
        <w:t xml:space="preserve">applied baccalaureate </w:t>
      </w:r>
      <w:r w:rsidR="00BE22C3" w:rsidRPr="004B15B5">
        <w:rPr>
          <w:sz w:val="22"/>
          <w:szCs w:val="22"/>
        </w:rPr>
        <w:t>FTES</w:t>
      </w:r>
      <w:r>
        <w:rPr>
          <w:sz w:val="22"/>
          <w:szCs w:val="22"/>
        </w:rPr>
        <w:t xml:space="preserve"> in fall 2016</w:t>
      </w:r>
      <w:r w:rsidR="00170305">
        <w:rPr>
          <w:sz w:val="22"/>
          <w:szCs w:val="22"/>
        </w:rPr>
        <w:t xml:space="preserve">, up </w:t>
      </w:r>
      <w:r>
        <w:rPr>
          <w:sz w:val="22"/>
          <w:szCs w:val="22"/>
        </w:rPr>
        <w:t>43</w:t>
      </w:r>
      <w:r w:rsidR="002F0685">
        <w:rPr>
          <w:sz w:val="22"/>
          <w:szCs w:val="22"/>
        </w:rPr>
        <w:t xml:space="preserve"> percent</w:t>
      </w:r>
      <w:r w:rsidR="00BE22C3" w:rsidRPr="004B15B5">
        <w:rPr>
          <w:sz w:val="22"/>
          <w:szCs w:val="22"/>
        </w:rPr>
        <w:t xml:space="preserve"> </w:t>
      </w:r>
      <w:r w:rsidR="00170305">
        <w:rPr>
          <w:sz w:val="22"/>
          <w:szCs w:val="22"/>
        </w:rPr>
        <w:t>(</w:t>
      </w:r>
      <w:r>
        <w:rPr>
          <w:sz w:val="22"/>
          <w:szCs w:val="22"/>
        </w:rPr>
        <w:t>615</w:t>
      </w:r>
      <w:r w:rsidR="00170305">
        <w:rPr>
          <w:sz w:val="22"/>
          <w:szCs w:val="22"/>
        </w:rPr>
        <w:t xml:space="preserve"> FTES) from fal</w:t>
      </w:r>
      <w:r w:rsidR="00BE22C3" w:rsidRPr="004B15B5">
        <w:rPr>
          <w:sz w:val="22"/>
          <w:szCs w:val="22"/>
        </w:rPr>
        <w:t>l 201</w:t>
      </w:r>
      <w:r>
        <w:rPr>
          <w:sz w:val="22"/>
          <w:szCs w:val="22"/>
        </w:rPr>
        <w:t>5</w:t>
      </w:r>
      <w:r w:rsidR="00BE22C3" w:rsidRPr="004B15B5">
        <w:rPr>
          <w:sz w:val="22"/>
          <w:szCs w:val="22"/>
        </w:rPr>
        <w:t>.</w:t>
      </w:r>
      <w:r w:rsidR="00BE22C3" w:rsidRPr="00BE22C3">
        <w:rPr>
          <w:noProof/>
        </w:rPr>
        <w:t xml:space="preserve"> </w:t>
      </w:r>
    </w:p>
    <w:p w:rsidR="00BE22C3" w:rsidRPr="004B15B5" w:rsidRDefault="00BE22C3" w:rsidP="00BE22C3">
      <w:pPr>
        <w:rPr>
          <w:b/>
          <w:sz w:val="22"/>
          <w:szCs w:val="22"/>
        </w:rPr>
      </w:pPr>
    </w:p>
    <w:p w:rsidR="00BE22C3" w:rsidRPr="004B15B5" w:rsidRDefault="00BE22C3" w:rsidP="00BE22C3">
      <w:pPr>
        <w:jc w:val="center"/>
        <w:rPr>
          <w:b/>
          <w:i/>
          <w:sz w:val="30"/>
          <w:szCs w:val="30"/>
        </w:rPr>
      </w:pPr>
    </w:p>
    <w:p w:rsidR="00BE22C3" w:rsidRPr="004B15B5" w:rsidRDefault="00BE22C3" w:rsidP="00BE22C3">
      <w:pPr>
        <w:rPr>
          <w:b/>
          <w:i/>
          <w:sz w:val="30"/>
          <w:szCs w:val="30"/>
        </w:rPr>
      </w:pPr>
    </w:p>
    <w:p w:rsidR="00BE22C3" w:rsidRDefault="00BE22C3" w:rsidP="00BE22C3">
      <w:pPr>
        <w:rPr>
          <w:b/>
          <w:i/>
          <w:sz w:val="30"/>
          <w:szCs w:val="30"/>
        </w:rPr>
      </w:pPr>
      <w:r w:rsidRPr="004B15B5">
        <w:rPr>
          <w:b/>
          <w:i/>
          <w:sz w:val="30"/>
          <w:szCs w:val="30"/>
        </w:rPr>
        <w:br w:type="page"/>
      </w:r>
    </w:p>
    <w:p w:rsidR="00170305" w:rsidRDefault="00170305" w:rsidP="00170305">
      <w:pPr>
        <w:rPr>
          <w:rFonts w:ascii="Gill Sans MT" w:hAnsi="Gill Sans MT"/>
          <w:b/>
        </w:rPr>
      </w:pPr>
    </w:p>
    <w:p w:rsidR="00170305" w:rsidRPr="004B15B5" w:rsidRDefault="00170305" w:rsidP="0015762F">
      <w:pPr>
        <w:pStyle w:val="Heading1"/>
      </w:pPr>
      <w:r>
        <w:rPr>
          <w:noProof/>
        </w:rPr>
        <w:drawing>
          <wp:anchor distT="0" distB="0" distL="114300" distR="114300" simplePos="0" relativeHeight="251700224" behindDoc="1" locked="0" layoutInCell="1" allowOverlap="1" wp14:anchorId="65D72452" wp14:editId="09993DED">
            <wp:simplePos x="0" y="0"/>
            <wp:positionH relativeFrom="margin">
              <wp:align>right</wp:align>
            </wp:positionH>
            <wp:positionV relativeFrom="margin">
              <wp:align>top</wp:align>
            </wp:positionV>
            <wp:extent cx="3657600" cy="3017520"/>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roofErr w:type="gramStart"/>
      <w:r>
        <w:t>eLearning</w:t>
      </w:r>
      <w:proofErr w:type="gramEnd"/>
    </w:p>
    <w:p w:rsidR="00170305" w:rsidRPr="004B15B5" w:rsidRDefault="00170305" w:rsidP="00170305">
      <w:pPr>
        <w:rPr>
          <w:b/>
          <w:i/>
          <w:sz w:val="22"/>
          <w:szCs w:val="22"/>
        </w:rPr>
      </w:pPr>
    </w:p>
    <w:p w:rsidR="00170305" w:rsidRPr="004B15B5" w:rsidRDefault="00170305" w:rsidP="00170305">
      <w:pPr>
        <w:rPr>
          <w:noProof/>
          <w:sz w:val="22"/>
          <w:szCs w:val="22"/>
          <w:lang w:eastAsia="zh-TW"/>
        </w:rPr>
      </w:pPr>
      <w:r w:rsidRPr="004B15B5">
        <w:rPr>
          <w:sz w:val="22"/>
          <w:szCs w:val="22"/>
        </w:rPr>
        <w:t xml:space="preserve">The colleges enrolled </w:t>
      </w:r>
      <w:r w:rsidR="007225EC">
        <w:rPr>
          <w:sz w:val="22"/>
          <w:szCs w:val="22"/>
        </w:rPr>
        <w:t>42,239</w:t>
      </w:r>
      <w:r w:rsidRPr="004B15B5">
        <w:rPr>
          <w:sz w:val="22"/>
          <w:szCs w:val="22"/>
        </w:rPr>
        <w:t xml:space="preserve"> FTES from all funding sources in eLearning courses in fall 201</w:t>
      </w:r>
      <w:r w:rsidR="007225EC">
        <w:rPr>
          <w:sz w:val="22"/>
          <w:szCs w:val="22"/>
        </w:rPr>
        <w:t>6</w:t>
      </w:r>
      <w:r w:rsidRPr="004B15B5">
        <w:rPr>
          <w:sz w:val="22"/>
          <w:szCs w:val="22"/>
        </w:rPr>
        <w:t xml:space="preserve">. </w:t>
      </w:r>
      <w:proofErr w:type="gramStart"/>
      <w:r w:rsidRPr="004B15B5">
        <w:rPr>
          <w:sz w:val="22"/>
          <w:szCs w:val="22"/>
        </w:rPr>
        <w:t>eLearning</w:t>
      </w:r>
      <w:proofErr w:type="gramEnd"/>
      <w:r w:rsidRPr="004B15B5">
        <w:rPr>
          <w:sz w:val="22"/>
          <w:szCs w:val="22"/>
        </w:rPr>
        <w:t xml:space="preserve"> FTES increased by </w:t>
      </w:r>
      <w:r w:rsidR="007225EC">
        <w:rPr>
          <w:sz w:val="22"/>
          <w:szCs w:val="22"/>
        </w:rPr>
        <w:t>6</w:t>
      </w:r>
      <w:r w:rsidR="00C16DFE">
        <w:rPr>
          <w:sz w:val="22"/>
          <w:szCs w:val="22"/>
        </w:rPr>
        <w:t xml:space="preserve"> </w:t>
      </w:r>
      <w:r w:rsidRPr="004B15B5">
        <w:rPr>
          <w:sz w:val="22"/>
          <w:szCs w:val="22"/>
        </w:rPr>
        <w:t>percent</w:t>
      </w:r>
      <w:r w:rsidR="00C16DFE">
        <w:rPr>
          <w:sz w:val="22"/>
          <w:szCs w:val="22"/>
        </w:rPr>
        <w:t xml:space="preserve"> (2,</w:t>
      </w:r>
      <w:r w:rsidR="007225EC">
        <w:rPr>
          <w:sz w:val="22"/>
          <w:szCs w:val="22"/>
        </w:rPr>
        <w:t>499</w:t>
      </w:r>
      <w:r w:rsidR="00C16DFE">
        <w:rPr>
          <w:sz w:val="22"/>
          <w:szCs w:val="22"/>
        </w:rPr>
        <w:t xml:space="preserve"> FTES) from fall 201</w:t>
      </w:r>
      <w:r w:rsidR="007225EC">
        <w:rPr>
          <w:sz w:val="22"/>
          <w:szCs w:val="22"/>
        </w:rPr>
        <w:t>5</w:t>
      </w:r>
      <w:r w:rsidRPr="004B15B5">
        <w:rPr>
          <w:sz w:val="22"/>
          <w:szCs w:val="22"/>
        </w:rPr>
        <w:t xml:space="preserve">. Compared to the one percent decline for all FTES, this demonstrates eLearning’s growth as a share </w:t>
      </w:r>
      <w:r w:rsidR="00932FE5">
        <w:rPr>
          <w:sz w:val="22"/>
          <w:szCs w:val="22"/>
        </w:rPr>
        <w:t xml:space="preserve">of </w:t>
      </w:r>
      <w:r w:rsidRPr="004B15B5">
        <w:rPr>
          <w:sz w:val="22"/>
          <w:szCs w:val="22"/>
        </w:rPr>
        <w:t>college instruction. Hybrid eLearning course</w:t>
      </w:r>
      <w:r w:rsidR="00C16DFE">
        <w:rPr>
          <w:sz w:val="22"/>
          <w:szCs w:val="22"/>
        </w:rPr>
        <w:t>s</w:t>
      </w:r>
      <w:r w:rsidRPr="004B15B5">
        <w:rPr>
          <w:sz w:val="22"/>
          <w:szCs w:val="22"/>
        </w:rPr>
        <w:t xml:space="preserve"> (which combine some face-to-face with online instruction</w:t>
      </w:r>
      <w:r w:rsidR="00C16DFE">
        <w:rPr>
          <w:sz w:val="22"/>
          <w:szCs w:val="22"/>
        </w:rPr>
        <w:t>)</w:t>
      </w:r>
      <w:r w:rsidRPr="004B15B5">
        <w:rPr>
          <w:sz w:val="22"/>
          <w:szCs w:val="22"/>
        </w:rPr>
        <w:t xml:space="preserve">, increased </w:t>
      </w:r>
      <w:r w:rsidR="00C16DFE">
        <w:rPr>
          <w:sz w:val="22"/>
          <w:szCs w:val="22"/>
        </w:rPr>
        <w:t xml:space="preserve">enrollment </w:t>
      </w:r>
      <w:r w:rsidRPr="004B15B5">
        <w:rPr>
          <w:sz w:val="22"/>
          <w:szCs w:val="22"/>
        </w:rPr>
        <w:t xml:space="preserve">by </w:t>
      </w:r>
      <w:r w:rsidR="007225EC">
        <w:rPr>
          <w:sz w:val="22"/>
          <w:szCs w:val="22"/>
        </w:rPr>
        <w:t>6</w:t>
      </w:r>
      <w:r w:rsidRPr="004B15B5">
        <w:rPr>
          <w:sz w:val="22"/>
          <w:szCs w:val="22"/>
        </w:rPr>
        <w:t xml:space="preserve"> percent</w:t>
      </w:r>
      <w:r w:rsidR="00C16DFE">
        <w:rPr>
          <w:sz w:val="22"/>
          <w:szCs w:val="22"/>
        </w:rPr>
        <w:t xml:space="preserve"> (1,</w:t>
      </w:r>
      <w:r w:rsidR="007225EC">
        <w:rPr>
          <w:sz w:val="22"/>
          <w:szCs w:val="22"/>
        </w:rPr>
        <w:t>006</w:t>
      </w:r>
      <w:r w:rsidR="00C16DFE">
        <w:rPr>
          <w:sz w:val="22"/>
          <w:szCs w:val="22"/>
        </w:rPr>
        <w:t xml:space="preserve"> FTES)</w:t>
      </w:r>
      <w:r w:rsidR="00240B45">
        <w:rPr>
          <w:sz w:val="22"/>
          <w:szCs w:val="22"/>
        </w:rPr>
        <w:t xml:space="preserve"> from fall 201</w:t>
      </w:r>
      <w:r w:rsidR="007225EC">
        <w:rPr>
          <w:sz w:val="22"/>
          <w:szCs w:val="22"/>
        </w:rPr>
        <w:t>5</w:t>
      </w:r>
      <w:r w:rsidRPr="004B15B5">
        <w:rPr>
          <w:sz w:val="22"/>
          <w:szCs w:val="22"/>
        </w:rPr>
        <w:t xml:space="preserve">. Online eLearning FTES increased by </w:t>
      </w:r>
      <w:r w:rsidR="007225EC">
        <w:rPr>
          <w:sz w:val="22"/>
          <w:szCs w:val="22"/>
        </w:rPr>
        <w:t>7</w:t>
      </w:r>
      <w:r w:rsidRPr="004B15B5">
        <w:rPr>
          <w:sz w:val="22"/>
          <w:szCs w:val="22"/>
        </w:rPr>
        <w:t xml:space="preserve"> percent</w:t>
      </w:r>
      <w:r w:rsidR="00C16DFE">
        <w:rPr>
          <w:sz w:val="22"/>
          <w:szCs w:val="22"/>
        </w:rPr>
        <w:t xml:space="preserve"> (</w:t>
      </w:r>
      <w:r w:rsidR="007225EC">
        <w:rPr>
          <w:sz w:val="22"/>
          <w:szCs w:val="22"/>
        </w:rPr>
        <w:t>1,</w:t>
      </w:r>
      <w:r w:rsidR="00C16DFE">
        <w:rPr>
          <w:sz w:val="22"/>
          <w:szCs w:val="22"/>
        </w:rPr>
        <w:t>5</w:t>
      </w:r>
      <w:r w:rsidR="007225EC">
        <w:rPr>
          <w:sz w:val="22"/>
          <w:szCs w:val="22"/>
        </w:rPr>
        <w:t>5</w:t>
      </w:r>
      <w:r w:rsidR="00932FE5">
        <w:rPr>
          <w:sz w:val="22"/>
          <w:szCs w:val="22"/>
        </w:rPr>
        <w:t>7</w:t>
      </w:r>
      <w:r w:rsidR="00C16DFE">
        <w:rPr>
          <w:sz w:val="22"/>
          <w:szCs w:val="22"/>
        </w:rPr>
        <w:t xml:space="preserve"> FTES)</w:t>
      </w:r>
      <w:r w:rsidR="00240B45">
        <w:rPr>
          <w:sz w:val="22"/>
          <w:szCs w:val="22"/>
        </w:rPr>
        <w:t xml:space="preserve"> from fall 201</w:t>
      </w:r>
      <w:r w:rsidR="007225EC">
        <w:rPr>
          <w:sz w:val="22"/>
          <w:szCs w:val="22"/>
        </w:rPr>
        <w:t>5</w:t>
      </w:r>
      <w:r w:rsidRPr="004B15B5">
        <w:rPr>
          <w:sz w:val="22"/>
          <w:szCs w:val="22"/>
        </w:rPr>
        <w:t>.</w:t>
      </w:r>
    </w:p>
    <w:p w:rsidR="00170305" w:rsidRPr="004B15B5" w:rsidRDefault="00170305" w:rsidP="00170305">
      <w:pPr>
        <w:rPr>
          <w:noProof/>
          <w:sz w:val="22"/>
          <w:szCs w:val="22"/>
          <w:lang w:eastAsia="zh-TW"/>
        </w:rPr>
      </w:pPr>
    </w:p>
    <w:p w:rsidR="00170305" w:rsidRPr="004B15B5" w:rsidRDefault="00170305" w:rsidP="00170305">
      <w:pPr>
        <w:rPr>
          <w:noProof/>
          <w:lang w:eastAsia="zh-TW"/>
        </w:rPr>
      </w:pPr>
    </w:p>
    <w:p w:rsidR="00170305" w:rsidRPr="00932FE5" w:rsidRDefault="00170305" w:rsidP="00932FE5">
      <w:pPr>
        <w:rPr>
          <w:sz w:val="30"/>
          <w:szCs w:val="30"/>
        </w:rPr>
      </w:pPr>
    </w:p>
    <w:p w:rsidR="00170305" w:rsidRPr="00932FE5" w:rsidRDefault="00170305" w:rsidP="00170305">
      <w:pPr>
        <w:rPr>
          <w:rFonts w:ascii="Gill Sans MT" w:hAnsi="Gill Sans MT"/>
        </w:rPr>
      </w:pPr>
    </w:p>
    <w:p w:rsidR="00170305" w:rsidRPr="00932FE5" w:rsidRDefault="00170305" w:rsidP="00170305">
      <w:pPr>
        <w:rPr>
          <w:rFonts w:ascii="Gill Sans MT" w:hAnsi="Gill Sans MT"/>
        </w:rPr>
      </w:pPr>
    </w:p>
    <w:p w:rsidR="00170305" w:rsidRPr="00932FE5" w:rsidRDefault="00170305" w:rsidP="00170305">
      <w:pPr>
        <w:rPr>
          <w:rFonts w:ascii="Gill Sans MT" w:hAnsi="Gill Sans MT"/>
        </w:rPr>
      </w:pPr>
    </w:p>
    <w:p w:rsidR="00170305" w:rsidRPr="00932FE5" w:rsidRDefault="00170305" w:rsidP="00170305">
      <w:pPr>
        <w:rPr>
          <w:rFonts w:ascii="Gill Sans MT" w:hAnsi="Gill Sans MT"/>
        </w:rPr>
      </w:pPr>
    </w:p>
    <w:p w:rsidR="00170305" w:rsidRPr="00932FE5" w:rsidRDefault="00170305" w:rsidP="00170305">
      <w:pPr>
        <w:rPr>
          <w:rFonts w:ascii="Gill Sans MT" w:hAnsi="Gill Sans MT"/>
        </w:rPr>
      </w:pPr>
    </w:p>
    <w:p w:rsidR="00170305" w:rsidRPr="00932FE5" w:rsidRDefault="00170305" w:rsidP="00170305">
      <w:pPr>
        <w:rPr>
          <w:rFonts w:ascii="Gill Sans MT" w:hAnsi="Gill Sans MT"/>
        </w:rPr>
      </w:pPr>
    </w:p>
    <w:p w:rsidR="00170305" w:rsidRPr="00932FE5" w:rsidRDefault="00170305" w:rsidP="00170305">
      <w:pPr>
        <w:rPr>
          <w:rFonts w:ascii="Gill Sans MT" w:hAnsi="Gill Sans MT"/>
        </w:rPr>
      </w:pPr>
    </w:p>
    <w:p w:rsidR="00170305" w:rsidRDefault="00170305" w:rsidP="00170305">
      <w:pPr>
        <w:rPr>
          <w:rFonts w:ascii="Gill Sans MT" w:hAnsi="Gill Sans MT"/>
          <w:b/>
        </w:rPr>
      </w:pPr>
    </w:p>
    <w:p w:rsidR="00170305" w:rsidRPr="004B15B5" w:rsidRDefault="00170305" w:rsidP="0015762F">
      <w:pPr>
        <w:pStyle w:val="Heading1"/>
      </w:pPr>
      <w:r w:rsidRPr="004B15B5">
        <w:t>I-BEST</w:t>
      </w:r>
      <w:r>
        <w:rPr>
          <w:noProof/>
        </w:rPr>
        <w:drawing>
          <wp:anchor distT="0" distB="0" distL="114300" distR="114300" simplePos="0" relativeHeight="251701248" behindDoc="1" locked="0" layoutInCell="1" allowOverlap="1" wp14:anchorId="345E6AC7" wp14:editId="25332B23">
            <wp:simplePos x="0" y="0"/>
            <wp:positionH relativeFrom="margin">
              <wp:align>right</wp:align>
            </wp:positionH>
            <wp:positionV relativeFrom="margin">
              <wp:align>bottom</wp:align>
            </wp:positionV>
            <wp:extent cx="3657600" cy="274320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70305" w:rsidRPr="004B15B5" w:rsidRDefault="00170305" w:rsidP="00170305">
      <w:pPr>
        <w:rPr>
          <w:sz w:val="22"/>
          <w:szCs w:val="22"/>
        </w:rPr>
      </w:pPr>
    </w:p>
    <w:p w:rsidR="00170305" w:rsidRPr="004B15B5" w:rsidRDefault="00170305" w:rsidP="00170305">
      <w:pPr>
        <w:rPr>
          <w:sz w:val="22"/>
          <w:szCs w:val="22"/>
        </w:rPr>
      </w:pPr>
      <w:r w:rsidRPr="004B15B5">
        <w:rPr>
          <w:sz w:val="22"/>
          <w:szCs w:val="22"/>
        </w:rPr>
        <w:t>Integrated Basic Education and Skills Training (I-BEST) pairs two instructors in the classroom – one to teach professional and technical content and the other to teach basic education skills in reading, math, writing or English language</w:t>
      </w:r>
      <w:r w:rsidR="00C16DFE">
        <w:rPr>
          <w:sz w:val="22"/>
          <w:szCs w:val="22"/>
        </w:rPr>
        <w:t>,</w:t>
      </w:r>
      <w:r w:rsidRPr="004B15B5">
        <w:rPr>
          <w:sz w:val="22"/>
          <w:szCs w:val="22"/>
        </w:rPr>
        <w:t xml:space="preserve"> so students can move through school and into jobs faster. </w:t>
      </w:r>
      <w:proofErr w:type="gramStart"/>
      <w:r w:rsidRPr="004B15B5">
        <w:rPr>
          <w:sz w:val="22"/>
          <w:szCs w:val="22"/>
        </w:rPr>
        <w:t xml:space="preserve">I-BEST enrollments increased by </w:t>
      </w:r>
      <w:r w:rsidR="007225EC">
        <w:rPr>
          <w:sz w:val="22"/>
          <w:szCs w:val="22"/>
        </w:rPr>
        <w:t>5</w:t>
      </w:r>
      <w:r w:rsidR="00FA5847">
        <w:rPr>
          <w:sz w:val="22"/>
          <w:szCs w:val="22"/>
        </w:rPr>
        <w:t xml:space="preserve"> percent </w:t>
      </w:r>
      <w:r w:rsidR="007225EC">
        <w:rPr>
          <w:sz w:val="22"/>
          <w:szCs w:val="22"/>
        </w:rPr>
        <w:t>(129</w:t>
      </w:r>
      <w:r w:rsidR="00C16DFE">
        <w:rPr>
          <w:sz w:val="22"/>
          <w:szCs w:val="22"/>
        </w:rPr>
        <w:t xml:space="preserve"> FTES) from fall 201</w:t>
      </w:r>
      <w:r w:rsidR="007225EC">
        <w:rPr>
          <w:sz w:val="22"/>
          <w:szCs w:val="22"/>
        </w:rPr>
        <w:t>5</w:t>
      </w:r>
      <w:r w:rsidRPr="004B15B5">
        <w:rPr>
          <w:sz w:val="22"/>
          <w:szCs w:val="22"/>
        </w:rPr>
        <w:t>.</w:t>
      </w:r>
      <w:proofErr w:type="gramEnd"/>
    </w:p>
    <w:p w:rsidR="00170305" w:rsidRPr="004B15B5" w:rsidRDefault="00170305" w:rsidP="00170305">
      <w:pPr>
        <w:rPr>
          <w:b/>
          <w:sz w:val="22"/>
          <w:szCs w:val="22"/>
        </w:rPr>
      </w:pPr>
    </w:p>
    <w:p w:rsidR="00170305" w:rsidRPr="004B15B5" w:rsidRDefault="00170305" w:rsidP="00170305">
      <w:pPr>
        <w:jc w:val="center"/>
        <w:rPr>
          <w:b/>
          <w:i/>
          <w:sz w:val="30"/>
          <w:szCs w:val="30"/>
        </w:rPr>
      </w:pPr>
    </w:p>
    <w:p w:rsidR="00170305" w:rsidRPr="004B15B5" w:rsidRDefault="00170305" w:rsidP="00170305">
      <w:pPr>
        <w:rPr>
          <w:b/>
          <w:i/>
          <w:sz w:val="30"/>
          <w:szCs w:val="30"/>
        </w:rPr>
      </w:pPr>
    </w:p>
    <w:p w:rsidR="00170305" w:rsidRPr="004B15B5" w:rsidRDefault="00170305" w:rsidP="00170305">
      <w:pPr>
        <w:rPr>
          <w:b/>
          <w:i/>
          <w:sz w:val="30"/>
          <w:szCs w:val="30"/>
        </w:rPr>
      </w:pPr>
      <w:r w:rsidRPr="004B15B5">
        <w:rPr>
          <w:b/>
          <w:i/>
          <w:sz w:val="30"/>
          <w:szCs w:val="30"/>
        </w:rPr>
        <w:br w:type="page"/>
      </w:r>
    </w:p>
    <w:p w:rsidR="00C16DFE" w:rsidRDefault="00C16DFE" w:rsidP="00C16DFE">
      <w:pPr>
        <w:rPr>
          <w:rFonts w:ascii="Gill Sans MT" w:hAnsi="Gill Sans MT"/>
          <w:b/>
        </w:rPr>
      </w:pPr>
    </w:p>
    <w:p w:rsidR="00C16DFE" w:rsidRPr="004B15B5" w:rsidRDefault="00C16DFE" w:rsidP="0015762F">
      <w:pPr>
        <w:pStyle w:val="Heading1"/>
      </w:pPr>
      <w:r>
        <w:rPr>
          <w:noProof/>
        </w:rPr>
        <w:drawing>
          <wp:anchor distT="0" distB="0" distL="114300" distR="114300" simplePos="0" relativeHeight="251703296" behindDoc="1" locked="0" layoutInCell="1" allowOverlap="1" wp14:anchorId="10C02E3A" wp14:editId="37BA2363">
            <wp:simplePos x="0" y="0"/>
            <wp:positionH relativeFrom="margin">
              <wp:align>right</wp:align>
            </wp:positionH>
            <wp:positionV relativeFrom="margin">
              <wp:align>top</wp:align>
            </wp:positionV>
            <wp:extent cx="3657600" cy="301752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t>International Students</w:t>
      </w:r>
    </w:p>
    <w:p w:rsidR="00C16DFE" w:rsidRPr="004B15B5" w:rsidRDefault="00C16DFE" w:rsidP="00C16DFE">
      <w:pPr>
        <w:rPr>
          <w:b/>
          <w:i/>
          <w:sz w:val="22"/>
          <w:szCs w:val="22"/>
        </w:rPr>
      </w:pPr>
    </w:p>
    <w:p w:rsidR="00C16DFE" w:rsidRPr="004B15B5" w:rsidRDefault="00C16DFE" w:rsidP="00C16DFE">
      <w:pPr>
        <w:rPr>
          <w:noProof/>
          <w:sz w:val="22"/>
          <w:szCs w:val="22"/>
          <w:lang w:eastAsia="zh-TW"/>
        </w:rPr>
      </w:pPr>
      <w:r w:rsidRPr="008A7C69">
        <w:rPr>
          <w:sz w:val="22"/>
          <w:szCs w:val="22"/>
        </w:rPr>
        <w:t xml:space="preserve">The colleges enrolled </w:t>
      </w:r>
      <w:r w:rsidR="008A7C69" w:rsidRPr="008A7C69">
        <w:rPr>
          <w:sz w:val="22"/>
          <w:szCs w:val="22"/>
        </w:rPr>
        <w:t>1</w:t>
      </w:r>
      <w:r w:rsidR="007225EC">
        <w:rPr>
          <w:sz w:val="22"/>
          <w:szCs w:val="22"/>
        </w:rPr>
        <w:t>2,494</w:t>
      </w:r>
      <w:r w:rsidRPr="008A7C69">
        <w:rPr>
          <w:sz w:val="22"/>
          <w:szCs w:val="22"/>
        </w:rPr>
        <w:t xml:space="preserve"> </w:t>
      </w:r>
      <w:r w:rsidR="008A7C69" w:rsidRPr="008A7C69">
        <w:rPr>
          <w:sz w:val="22"/>
          <w:szCs w:val="22"/>
        </w:rPr>
        <w:t xml:space="preserve">international student </w:t>
      </w:r>
      <w:r w:rsidRPr="008A7C69">
        <w:rPr>
          <w:sz w:val="22"/>
          <w:szCs w:val="22"/>
        </w:rPr>
        <w:t>FTES from all funding sources in fall 201</w:t>
      </w:r>
      <w:r w:rsidR="007225EC">
        <w:rPr>
          <w:sz w:val="22"/>
          <w:szCs w:val="22"/>
        </w:rPr>
        <w:t>6</w:t>
      </w:r>
      <w:r w:rsidRPr="008A7C69">
        <w:rPr>
          <w:sz w:val="22"/>
          <w:szCs w:val="22"/>
        </w:rPr>
        <w:t xml:space="preserve">. </w:t>
      </w:r>
      <w:r w:rsidR="00D5651B">
        <w:rPr>
          <w:sz w:val="22"/>
          <w:szCs w:val="22"/>
        </w:rPr>
        <w:t>There was a drop in state-supported international student enrollment and a corresponding increase in international contract enrollments related to the new rule that limits the number of international student enrollments that can be counted for state allocation.  Total international student enrollment had been rising for several years, but had a small decline last year and a larger decline this year, down by 6 percent (-771 FTES) from fall 2015</w:t>
      </w:r>
      <w:r w:rsidRPr="008A7C69">
        <w:rPr>
          <w:sz w:val="22"/>
          <w:szCs w:val="22"/>
        </w:rPr>
        <w:t>.</w:t>
      </w:r>
      <w:r w:rsidRPr="004B15B5">
        <w:rPr>
          <w:noProof/>
          <w:sz w:val="22"/>
          <w:szCs w:val="22"/>
          <w:lang w:eastAsia="zh-TW"/>
        </w:rPr>
        <w:t xml:space="preserve"> </w:t>
      </w:r>
    </w:p>
    <w:p w:rsidR="00C16DFE" w:rsidRPr="004B15B5" w:rsidRDefault="00C16DFE" w:rsidP="00C16DFE">
      <w:pPr>
        <w:rPr>
          <w:noProof/>
          <w:sz w:val="22"/>
          <w:szCs w:val="22"/>
          <w:lang w:eastAsia="zh-TW"/>
        </w:rPr>
      </w:pPr>
    </w:p>
    <w:p w:rsidR="00C16DFE" w:rsidRPr="004B15B5" w:rsidRDefault="00C16DFE" w:rsidP="00C16DFE">
      <w:pPr>
        <w:rPr>
          <w:noProof/>
          <w:lang w:eastAsia="zh-TW"/>
        </w:rPr>
      </w:pPr>
    </w:p>
    <w:p w:rsidR="00C16DFE" w:rsidRPr="004B15B5" w:rsidRDefault="00C16DFE" w:rsidP="00C16DFE">
      <w:pPr>
        <w:jc w:val="center"/>
        <w:rPr>
          <w:b/>
          <w:i/>
          <w:sz w:val="30"/>
          <w:szCs w:val="30"/>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Pr="004B15B5" w:rsidRDefault="00C16DFE" w:rsidP="0015762F">
      <w:pPr>
        <w:pStyle w:val="Heading1"/>
      </w:pPr>
      <w:r>
        <w:rPr>
          <w:noProof/>
        </w:rPr>
        <w:drawing>
          <wp:anchor distT="0" distB="0" distL="114300" distR="114300" simplePos="0" relativeHeight="251704320" behindDoc="1" locked="0" layoutInCell="1" allowOverlap="1" wp14:anchorId="04B69978" wp14:editId="6C2A4258">
            <wp:simplePos x="0" y="0"/>
            <wp:positionH relativeFrom="margin">
              <wp:align>right</wp:align>
            </wp:positionH>
            <wp:positionV relativeFrom="margin">
              <wp:align>bottom</wp:align>
            </wp:positionV>
            <wp:extent cx="3657600" cy="2743200"/>
            <wp:effectExtent l="0" t="0" r="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t>Running Start</w:t>
      </w:r>
    </w:p>
    <w:p w:rsidR="00C16DFE" w:rsidRPr="004B15B5" w:rsidRDefault="00C16DFE" w:rsidP="00C16DFE">
      <w:pPr>
        <w:rPr>
          <w:sz w:val="22"/>
          <w:szCs w:val="22"/>
        </w:rPr>
      </w:pPr>
    </w:p>
    <w:p w:rsidR="00C16DFE" w:rsidRPr="004B15B5" w:rsidRDefault="00C16DFE" w:rsidP="00C16DFE">
      <w:pPr>
        <w:rPr>
          <w:sz w:val="22"/>
          <w:szCs w:val="22"/>
        </w:rPr>
      </w:pPr>
      <w:r w:rsidRPr="004B15B5">
        <w:rPr>
          <w:sz w:val="22"/>
          <w:szCs w:val="22"/>
        </w:rPr>
        <w:t>Running Start allows qualified 11</w:t>
      </w:r>
      <w:r w:rsidRPr="004B15B5">
        <w:rPr>
          <w:sz w:val="22"/>
          <w:szCs w:val="22"/>
          <w:vertAlign w:val="superscript"/>
        </w:rPr>
        <w:t>th</w:t>
      </w:r>
      <w:r w:rsidRPr="004B15B5">
        <w:rPr>
          <w:sz w:val="22"/>
          <w:szCs w:val="22"/>
        </w:rPr>
        <w:t xml:space="preserve"> and 12</w:t>
      </w:r>
      <w:r w:rsidRPr="004B15B5">
        <w:rPr>
          <w:sz w:val="22"/>
          <w:szCs w:val="22"/>
          <w:vertAlign w:val="superscript"/>
        </w:rPr>
        <w:t>th</w:t>
      </w:r>
      <w:r w:rsidRPr="004B15B5">
        <w:rPr>
          <w:sz w:val="22"/>
          <w:szCs w:val="22"/>
        </w:rPr>
        <w:t xml:space="preserve"> grade students to earn both high school and college credits for completing courses at the </w:t>
      </w:r>
      <w:r w:rsidR="003A5357">
        <w:rPr>
          <w:sz w:val="22"/>
          <w:szCs w:val="22"/>
        </w:rPr>
        <w:t>college level. Colleges served 20,807</w:t>
      </w:r>
      <w:r w:rsidRPr="004B15B5">
        <w:rPr>
          <w:sz w:val="22"/>
          <w:szCs w:val="22"/>
        </w:rPr>
        <w:t xml:space="preserve"> </w:t>
      </w:r>
      <w:r w:rsidR="003A5357">
        <w:rPr>
          <w:sz w:val="22"/>
          <w:szCs w:val="22"/>
        </w:rPr>
        <w:t xml:space="preserve">Running Start </w:t>
      </w:r>
      <w:r w:rsidRPr="004B15B5">
        <w:rPr>
          <w:sz w:val="22"/>
          <w:szCs w:val="22"/>
        </w:rPr>
        <w:t>FTES in fall 201</w:t>
      </w:r>
      <w:r w:rsidR="003A5357">
        <w:rPr>
          <w:sz w:val="22"/>
          <w:szCs w:val="22"/>
        </w:rPr>
        <w:t>6</w:t>
      </w:r>
      <w:r w:rsidRPr="004B15B5">
        <w:rPr>
          <w:sz w:val="22"/>
          <w:szCs w:val="22"/>
        </w:rPr>
        <w:t>. Running Start has grown substantially in the past five years</w:t>
      </w:r>
      <w:r w:rsidR="003A5357">
        <w:rPr>
          <w:sz w:val="22"/>
          <w:szCs w:val="22"/>
        </w:rPr>
        <w:t>, up</w:t>
      </w:r>
      <w:r w:rsidRPr="004B15B5">
        <w:rPr>
          <w:sz w:val="22"/>
          <w:szCs w:val="22"/>
        </w:rPr>
        <w:t xml:space="preserve"> </w:t>
      </w:r>
      <w:r w:rsidR="00240B45">
        <w:rPr>
          <w:sz w:val="22"/>
          <w:szCs w:val="22"/>
        </w:rPr>
        <w:t xml:space="preserve">by </w:t>
      </w:r>
      <w:r w:rsidR="003A5357">
        <w:rPr>
          <w:sz w:val="22"/>
          <w:szCs w:val="22"/>
        </w:rPr>
        <w:t>10</w:t>
      </w:r>
      <w:r w:rsidRPr="004B15B5">
        <w:rPr>
          <w:sz w:val="22"/>
          <w:szCs w:val="22"/>
        </w:rPr>
        <w:t xml:space="preserve"> percent </w:t>
      </w:r>
      <w:r w:rsidR="00240B45">
        <w:rPr>
          <w:sz w:val="22"/>
          <w:szCs w:val="22"/>
        </w:rPr>
        <w:t>(</w:t>
      </w:r>
      <w:r w:rsidR="003A5357">
        <w:rPr>
          <w:sz w:val="22"/>
          <w:szCs w:val="22"/>
        </w:rPr>
        <w:t>1,974</w:t>
      </w:r>
      <w:r w:rsidR="00240B45">
        <w:rPr>
          <w:sz w:val="22"/>
          <w:szCs w:val="22"/>
        </w:rPr>
        <w:t xml:space="preserve"> FTES) from</w:t>
      </w:r>
      <w:r w:rsidRPr="004B15B5">
        <w:rPr>
          <w:sz w:val="22"/>
          <w:szCs w:val="22"/>
        </w:rPr>
        <w:t xml:space="preserve"> fall 201</w:t>
      </w:r>
      <w:r w:rsidR="003A5357">
        <w:rPr>
          <w:sz w:val="22"/>
          <w:szCs w:val="22"/>
        </w:rPr>
        <w:t>5</w:t>
      </w:r>
      <w:r>
        <w:rPr>
          <w:sz w:val="22"/>
          <w:szCs w:val="22"/>
        </w:rPr>
        <w:t>.</w:t>
      </w:r>
    </w:p>
    <w:p w:rsidR="00C16DFE" w:rsidRPr="004B15B5" w:rsidRDefault="00C16DFE" w:rsidP="00C16DFE">
      <w:pPr>
        <w:rPr>
          <w:b/>
          <w:sz w:val="22"/>
          <w:szCs w:val="22"/>
        </w:rPr>
      </w:pPr>
    </w:p>
    <w:p w:rsidR="00C16DFE" w:rsidRPr="004B15B5" w:rsidRDefault="00C16DFE" w:rsidP="00C16DFE">
      <w:pPr>
        <w:jc w:val="center"/>
        <w:rPr>
          <w:b/>
          <w:i/>
          <w:sz w:val="30"/>
          <w:szCs w:val="30"/>
        </w:rPr>
      </w:pPr>
    </w:p>
    <w:p w:rsidR="00C16DFE" w:rsidRPr="004B15B5" w:rsidRDefault="00C16DFE" w:rsidP="00C16DFE">
      <w:pPr>
        <w:rPr>
          <w:b/>
          <w:i/>
          <w:sz w:val="30"/>
          <w:szCs w:val="30"/>
        </w:rPr>
      </w:pPr>
    </w:p>
    <w:p w:rsidR="00C16DFE" w:rsidRPr="004B15B5" w:rsidRDefault="00C16DFE" w:rsidP="00C16DFE">
      <w:pPr>
        <w:rPr>
          <w:b/>
          <w:i/>
          <w:sz w:val="30"/>
          <w:szCs w:val="30"/>
        </w:rPr>
      </w:pPr>
      <w:r w:rsidRPr="004B15B5">
        <w:rPr>
          <w:b/>
          <w:i/>
          <w:sz w:val="30"/>
          <w:szCs w:val="30"/>
        </w:rPr>
        <w:br w:type="page"/>
      </w:r>
    </w:p>
    <w:p w:rsidR="00C16DFE" w:rsidRPr="004B15B5" w:rsidRDefault="00C16DFE" w:rsidP="0015762F">
      <w:pPr>
        <w:pStyle w:val="Heading1"/>
      </w:pPr>
      <w:r>
        <w:rPr>
          <w:noProof/>
        </w:rPr>
        <w:lastRenderedPageBreak/>
        <w:drawing>
          <wp:anchor distT="0" distB="0" distL="114300" distR="114300" simplePos="0" relativeHeight="251706368" behindDoc="1" locked="0" layoutInCell="1" allowOverlap="1" wp14:anchorId="62D27F06" wp14:editId="405FE1D2">
            <wp:simplePos x="0" y="0"/>
            <wp:positionH relativeFrom="margin">
              <wp:align>right</wp:align>
            </wp:positionH>
            <wp:positionV relativeFrom="margin">
              <wp:align>top</wp:align>
            </wp:positionV>
            <wp:extent cx="3657600" cy="3017520"/>
            <wp:effectExtent l="0" t="0" r="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t>Worker Retraining</w:t>
      </w:r>
    </w:p>
    <w:p w:rsidR="00C16DFE" w:rsidRPr="0015762F" w:rsidRDefault="00C16DFE" w:rsidP="00C16DFE">
      <w:pPr>
        <w:rPr>
          <w:sz w:val="22"/>
          <w:szCs w:val="22"/>
        </w:rPr>
      </w:pPr>
    </w:p>
    <w:p w:rsidR="00C16DFE" w:rsidRPr="004B15B5" w:rsidRDefault="00C16DFE" w:rsidP="00C16DFE">
      <w:pPr>
        <w:rPr>
          <w:noProof/>
          <w:sz w:val="22"/>
          <w:szCs w:val="22"/>
          <w:lang w:eastAsia="zh-TW"/>
        </w:rPr>
      </w:pPr>
      <w:r w:rsidRPr="004B15B5">
        <w:rPr>
          <w:sz w:val="22"/>
          <w:szCs w:val="22"/>
        </w:rPr>
        <w:t xml:space="preserve">Worker retraining state-supported enrollments for CTCs and private career schools produced </w:t>
      </w:r>
      <w:r w:rsidR="000F1D2A">
        <w:rPr>
          <w:sz w:val="22"/>
          <w:szCs w:val="22"/>
        </w:rPr>
        <w:t>6,</w:t>
      </w:r>
      <w:r w:rsidR="003A5357">
        <w:rPr>
          <w:sz w:val="22"/>
          <w:szCs w:val="22"/>
        </w:rPr>
        <w:t>384</w:t>
      </w:r>
      <w:r w:rsidRPr="004B15B5">
        <w:rPr>
          <w:sz w:val="22"/>
          <w:szCs w:val="22"/>
        </w:rPr>
        <w:t xml:space="preserve"> FTES in fall 201</w:t>
      </w:r>
      <w:r w:rsidR="003A5357">
        <w:rPr>
          <w:sz w:val="22"/>
          <w:szCs w:val="22"/>
        </w:rPr>
        <w:t>6</w:t>
      </w:r>
      <w:r w:rsidRPr="004B15B5">
        <w:rPr>
          <w:sz w:val="22"/>
          <w:szCs w:val="22"/>
        </w:rPr>
        <w:t>. Worker retraining enrollments rose quickly during the recession and began to decline in 2011. In fall 201</w:t>
      </w:r>
      <w:r w:rsidR="0027680D">
        <w:rPr>
          <w:sz w:val="22"/>
          <w:szCs w:val="22"/>
        </w:rPr>
        <w:t xml:space="preserve">5, </w:t>
      </w:r>
      <w:r w:rsidR="000F1D2A">
        <w:rPr>
          <w:sz w:val="22"/>
          <w:szCs w:val="22"/>
        </w:rPr>
        <w:t xml:space="preserve">CTC </w:t>
      </w:r>
      <w:r w:rsidR="0027680D">
        <w:rPr>
          <w:sz w:val="22"/>
          <w:szCs w:val="22"/>
        </w:rPr>
        <w:t xml:space="preserve">Worker Retraining </w:t>
      </w:r>
      <w:r w:rsidRPr="004B15B5">
        <w:rPr>
          <w:sz w:val="22"/>
          <w:szCs w:val="22"/>
        </w:rPr>
        <w:t xml:space="preserve">FTES </w:t>
      </w:r>
      <w:r w:rsidR="0027680D">
        <w:rPr>
          <w:sz w:val="22"/>
          <w:szCs w:val="22"/>
        </w:rPr>
        <w:t>increased for the first time since the recession</w:t>
      </w:r>
      <w:r w:rsidR="003A5357">
        <w:rPr>
          <w:sz w:val="22"/>
          <w:szCs w:val="22"/>
        </w:rPr>
        <w:t xml:space="preserve"> and enrollment continues to grow this year</w:t>
      </w:r>
      <w:r w:rsidR="0027680D">
        <w:rPr>
          <w:sz w:val="22"/>
          <w:szCs w:val="22"/>
        </w:rPr>
        <w:t>, up</w:t>
      </w:r>
      <w:r w:rsidRPr="004B15B5">
        <w:rPr>
          <w:sz w:val="22"/>
          <w:szCs w:val="22"/>
        </w:rPr>
        <w:t xml:space="preserve"> </w:t>
      </w:r>
      <w:r w:rsidR="003A5357">
        <w:rPr>
          <w:sz w:val="22"/>
          <w:szCs w:val="22"/>
        </w:rPr>
        <w:t>4</w:t>
      </w:r>
      <w:r w:rsidRPr="004B15B5">
        <w:rPr>
          <w:sz w:val="22"/>
          <w:szCs w:val="22"/>
        </w:rPr>
        <w:t xml:space="preserve"> percent</w:t>
      </w:r>
      <w:r w:rsidR="003A5357">
        <w:rPr>
          <w:sz w:val="22"/>
          <w:szCs w:val="22"/>
        </w:rPr>
        <w:t xml:space="preserve"> (263</w:t>
      </w:r>
      <w:r w:rsidR="0027680D">
        <w:rPr>
          <w:sz w:val="22"/>
          <w:szCs w:val="22"/>
        </w:rPr>
        <w:t xml:space="preserve"> FTES</w:t>
      </w:r>
      <w:r w:rsidRPr="004B15B5">
        <w:rPr>
          <w:sz w:val="22"/>
          <w:szCs w:val="22"/>
        </w:rPr>
        <w:t>) from fall 201</w:t>
      </w:r>
      <w:r w:rsidR="003A5357">
        <w:rPr>
          <w:sz w:val="22"/>
          <w:szCs w:val="22"/>
        </w:rPr>
        <w:t>5</w:t>
      </w:r>
      <w:r w:rsidRPr="004B15B5">
        <w:rPr>
          <w:sz w:val="22"/>
          <w:szCs w:val="22"/>
        </w:rPr>
        <w:t>.</w:t>
      </w:r>
      <w:r w:rsidRPr="004B15B5">
        <w:rPr>
          <w:noProof/>
          <w:sz w:val="22"/>
          <w:szCs w:val="22"/>
          <w:lang w:eastAsia="zh-TW"/>
        </w:rPr>
        <w:t xml:space="preserve"> </w:t>
      </w:r>
    </w:p>
    <w:p w:rsidR="00C16DFE" w:rsidRPr="004B15B5" w:rsidRDefault="00C16DFE" w:rsidP="00C16DFE">
      <w:pPr>
        <w:rPr>
          <w:noProof/>
          <w:sz w:val="22"/>
          <w:szCs w:val="22"/>
          <w:lang w:eastAsia="zh-TW"/>
        </w:rPr>
      </w:pPr>
    </w:p>
    <w:p w:rsidR="00C16DFE" w:rsidRPr="004B15B5" w:rsidRDefault="00C16DFE" w:rsidP="00C16DFE">
      <w:pPr>
        <w:rPr>
          <w:noProof/>
          <w:lang w:eastAsia="zh-TW"/>
        </w:rPr>
      </w:pPr>
    </w:p>
    <w:p w:rsidR="00C16DFE" w:rsidRPr="004B15B5" w:rsidRDefault="00C16DFE" w:rsidP="00C16DFE">
      <w:pPr>
        <w:jc w:val="center"/>
        <w:rPr>
          <w:b/>
          <w:i/>
          <w:sz w:val="30"/>
          <w:szCs w:val="30"/>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Default="00C16DFE" w:rsidP="00C16DFE">
      <w:pPr>
        <w:rPr>
          <w:rFonts w:ascii="Gill Sans MT" w:hAnsi="Gill Sans MT"/>
          <w:b/>
        </w:rPr>
      </w:pPr>
    </w:p>
    <w:p w:rsidR="00C16DFE" w:rsidRPr="004B15B5" w:rsidRDefault="00C16DFE" w:rsidP="0015762F">
      <w:pPr>
        <w:pStyle w:val="Heading1"/>
      </w:pPr>
      <w:r>
        <w:rPr>
          <w:noProof/>
        </w:rPr>
        <w:drawing>
          <wp:anchor distT="0" distB="0" distL="114300" distR="114300" simplePos="0" relativeHeight="251707392" behindDoc="1" locked="0" layoutInCell="1" allowOverlap="1" wp14:anchorId="62FB5596" wp14:editId="5F0F3DF2">
            <wp:simplePos x="0" y="0"/>
            <wp:positionH relativeFrom="margin">
              <wp:align>right</wp:align>
            </wp:positionH>
            <wp:positionV relativeFrom="margin">
              <wp:align>bottom</wp:align>
            </wp:positionV>
            <wp:extent cx="3657600" cy="2743200"/>
            <wp:effectExtent l="0" t="0" r="0"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t>WorkFirst</w:t>
      </w:r>
    </w:p>
    <w:p w:rsidR="00C16DFE" w:rsidRPr="004B15B5" w:rsidRDefault="00C16DFE" w:rsidP="00C16DFE">
      <w:pPr>
        <w:rPr>
          <w:sz w:val="22"/>
          <w:szCs w:val="22"/>
        </w:rPr>
      </w:pPr>
    </w:p>
    <w:p w:rsidR="00C16DFE" w:rsidRPr="004B15B5" w:rsidRDefault="008B0D6D" w:rsidP="00C16DFE">
      <w:pPr>
        <w:rPr>
          <w:sz w:val="22"/>
          <w:szCs w:val="22"/>
        </w:rPr>
      </w:pPr>
      <w:r w:rsidRPr="002F0685">
        <w:rPr>
          <w:sz w:val="22"/>
          <w:szCs w:val="22"/>
        </w:rPr>
        <w:t xml:space="preserve">WorkFirst is Washington </w:t>
      </w:r>
      <w:r w:rsidR="002F0685" w:rsidRPr="002F0685">
        <w:rPr>
          <w:sz w:val="22"/>
          <w:szCs w:val="22"/>
        </w:rPr>
        <w:t>State’s</w:t>
      </w:r>
      <w:r w:rsidRPr="002F0685">
        <w:rPr>
          <w:sz w:val="22"/>
          <w:szCs w:val="22"/>
        </w:rPr>
        <w:t xml:space="preserve"> welfare reform program tha</w:t>
      </w:r>
      <w:r w:rsidR="002F0685" w:rsidRPr="002F0685">
        <w:rPr>
          <w:sz w:val="22"/>
          <w:szCs w:val="22"/>
        </w:rPr>
        <w:t xml:space="preserve">t </w:t>
      </w:r>
      <w:r w:rsidR="002F0685">
        <w:rPr>
          <w:sz w:val="22"/>
          <w:szCs w:val="22"/>
        </w:rPr>
        <w:t>helps people in low-income families find jobs, keep their jobs, find better jobs, and become self-sufficient.  The colleges enrolled 2,</w:t>
      </w:r>
      <w:r w:rsidR="003A5357">
        <w:rPr>
          <w:sz w:val="22"/>
          <w:szCs w:val="22"/>
        </w:rPr>
        <w:t>079 WorkFirst FTES in fall 2016</w:t>
      </w:r>
      <w:r w:rsidR="002F0685">
        <w:rPr>
          <w:sz w:val="22"/>
          <w:szCs w:val="22"/>
        </w:rPr>
        <w:t>, down by 1</w:t>
      </w:r>
      <w:r w:rsidR="003A5357">
        <w:rPr>
          <w:sz w:val="22"/>
          <w:szCs w:val="22"/>
        </w:rPr>
        <w:t>4</w:t>
      </w:r>
      <w:r w:rsidR="002F0685">
        <w:rPr>
          <w:sz w:val="22"/>
          <w:szCs w:val="22"/>
        </w:rPr>
        <w:t xml:space="preserve"> percent (-</w:t>
      </w:r>
      <w:r w:rsidR="003A5357">
        <w:rPr>
          <w:sz w:val="22"/>
          <w:szCs w:val="22"/>
        </w:rPr>
        <w:t>344</w:t>
      </w:r>
      <w:r w:rsidR="002F0685">
        <w:rPr>
          <w:sz w:val="22"/>
          <w:szCs w:val="22"/>
        </w:rPr>
        <w:t xml:space="preserve"> FTES) from fall 201</w:t>
      </w:r>
      <w:r w:rsidR="003A5357">
        <w:rPr>
          <w:sz w:val="22"/>
          <w:szCs w:val="22"/>
        </w:rPr>
        <w:t>5</w:t>
      </w:r>
      <w:r w:rsidR="002F0685">
        <w:rPr>
          <w:sz w:val="22"/>
          <w:szCs w:val="22"/>
        </w:rPr>
        <w:t xml:space="preserve">.  Similar to Worker Retraining, WorkFirst enrollments rose during the recession and began to decline in 2011.  </w:t>
      </w:r>
    </w:p>
    <w:sectPr w:rsidR="00C16DFE" w:rsidRPr="004B15B5" w:rsidSect="009D6E1A">
      <w:footerReference w:type="even" r:id="rId22"/>
      <w:footerReference w:type="default" r:id="rId23"/>
      <w:headerReference w:type="first" r:id="rId24"/>
      <w:footerReference w:type="first" r:id="rId25"/>
      <w:pgSz w:w="15840" w:h="12240" w:orient="landscape"/>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6A" w:rsidRDefault="00E6746A">
      <w:r>
        <w:separator/>
      </w:r>
    </w:p>
  </w:endnote>
  <w:endnote w:type="continuationSeparator" w:id="0">
    <w:p w:rsidR="00E6746A" w:rsidRDefault="00E6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B3" w:rsidRPr="00DA620F" w:rsidRDefault="00547FB3" w:rsidP="00DD0F13">
    <w:pPr>
      <w:pStyle w:val="Footer"/>
      <w:tabs>
        <w:tab w:val="clear" w:pos="8640"/>
        <w:tab w:val="left" w:pos="6840"/>
        <w:tab w:val="right" w:pos="12960"/>
      </w:tabs>
      <w:rPr>
        <w:noProof/>
        <w:sz w:val="22"/>
        <w:szCs w:val="22"/>
        <w:lang w:val="en-US"/>
      </w:rPr>
    </w:pPr>
    <w:r w:rsidRPr="00DA620F">
      <w:rPr>
        <w:sz w:val="22"/>
        <w:szCs w:val="22"/>
      </w:rPr>
      <w:fldChar w:fldCharType="begin"/>
    </w:r>
    <w:r w:rsidRPr="00DA620F">
      <w:rPr>
        <w:sz w:val="22"/>
        <w:szCs w:val="22"/>
      </w:rPr>
      <w:instrText xml:space="preserve"> PAGE   \* MERGEFORMAT </w:instrText>
    </w:r>
    <w:r w:rsidRPr="00DA620F">
      <w:rPr>
        <w:sz w:val="22"/>
        <w:szCs w:val="22"/>
      </w:rPr>
      <w:fldChar w:fldCharType="separate"/>
    </w:r>
    <w:r w:rsidR="00CF3571">
      <w:rPr>
        <w:noProof/>
        <w:sz w:val="22"/>
        <w:szCs w:val="22"/>
      </w:rPr>
      <w:t>2</w:t>
    </w:r>
    <w:r w:rsidRPr="00DA620F">
      <w:rPr>
        <w:noProof/>
        <w:sz w:val="22"/>
        <w:szCs w:val="22"/>
      </w:rPr>
      <w:fldChar w:fldCharType="end"/>
    </w:r>
    <w:r>
      <w:rPr>
        <w:noProof/>
        <w:sz w:val="22"/>
        <w:szCs w:val="22"/>
        <w:lang w:val="en-US"/>
      </w:rPr>
      <w:tab/>
      <w:t xml:space="preserve">                                                                                                      </w:t>
    </w:r>
    <w:r w:rsidR="00DD0F13">
      <w:rPr>
        <w:noProof/>
        <w:sz w:val="22"/>
        <w:szCs w:val="22"/>
        <w:lang w:val="en-US"/>
      </w:rPr>
      <w:tab/>
    </w:r>
    <w:r>
      <w:rPr>
        <w:sz w:val="22"/>
        <w:szCs w:val="22"/>
        <w:lang w:val="en-US"/>
      </w:rPr>
      <w:t>F</w:t>
    </w:r>
    <w:r>
      <w:rPr>
        <w:sz w:val="22"/>
        <w:szCs w:val="22"/>
      </w:rPr>
      <w:t>all 201</w:t>
    </w:r>
    <w:r w:rsidR="00FB2D5C">
      <w:rPr>
        <w:sz w:val="22"/>
        <w:szCs w:val="22"/>
        <w:lang w:val="en-US"/>
      </w:rPr>
      <w:t>6</w:t>
    </w:r>
    <w:r w:rsidRPr="00DA620F">
      <w:rPr>
        <w:sz w:val="22"/>
        <w:szCs w:val="22"/>
      </w:rPr>
      <w:t xml:space="preserve"> Enrollment Report</w:t>
    </w:r>
    <w:r w:rsidRPr="00DA620F">
      <w:rPr>
        <w:noProof/>
        <w:sz w:val="22"/>
        <w:szCs w:val="22"/>
        <w:lang w:val="en-US"/>
      </w:rPr>
      <w:t xml:space="preserve"> </w:t>
    </w:r>
    <w:r>
      <w:rPr>
        <w:noProof/>
        <w:sz w:val="22"/>
        <w:szCs w:val="22"/>
        <w:lang w:val="en-US"/>
      </w:rPr>
      <w:t>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B3" w:rsidRPr="00DA620F" w:rsidRDefault="00547FB3" w:rsidP="00ED3236">
    <w:pPr>
      <w:pStyle w:val="Footer"/>
      <w:tabs>
        <w:tab w:val="clear" w:pos="4320"/>
        <w:tab w:val="clear" w:pos="8640"/>
        <w:tab w:val="center" w:pos="9360"/>
        <w:tab w:val="right" w:pos="12960"/>
      </w:tabs>
      <w:rPr>
        <w:sz w:val="22"/>
        <w:szCs w:val="22"/>
        <w:lang w:val="en-US"/>
      </w:rPr>
    </w:pPr>
    <w:r>
      <w:rPr>
        <w:sz w:val="22"/>
        <w:szCs w:val="22"/>
        <w:lang w:val="en-US"/>
      </w:rPr>
      <w:t>F</w:t>
    </w:r>
    <w:r>
      <w:rPr>
        <w:sz w:val="22"/>
        <w:szCs w:val="22"/>
      </w:rPr>
      <w:t>all 201</w:t>
    </w:r>
    <w:r w:rsidR="00F43CE8">
      <w:rPr>
        <w:sz w:val="22"/>
        <w:szCs w:val="22"/>
        <w:lang w:val="en-US"/>
      </w:rPr>
      <w:t>6</w:t>
    </w:r>
    <w:r w:rsidRPr="00DA620F">
      <w:rPr>
        <w:sz w:val="22"/>
        <w:szCs w:val="22"/>
      </w:rPr>
      <w:t xml:space="preserve"> Enrollment </w:t>
    </w:r>
    <w:r>
      <w:rPr>
        <w:sz w:val="22"/>
        <w:szCs w:val="22"/>
        <w:lang w:val="en-US"/>
      </w:rPr>
      <w:t>Summary</w:t>
    </w:r>
    <w:r w:rsidRPr="00DA620F">
      <w:rPr>
        <w:sz w:val="22"/>
        <w:szCs w:val="22"/>
        <w:lang w:val="en-US"/>
      </w:rPr>
      <w:tab/>
    </w:r>
    <w:r w:rsidR="00DD0F13">
      <w:rPr>
        <w:sz w:val="22"/>
        <w:szCs w:val="22"/>
        <w:lang w:val="en-US"/>
      </w:rPr>
      <w:tab/>
    </w:r>
    <w:r w:rsidRPr="00DA620F">
      <w:rPr>
        <w:sz w:val="22"/>
        <w:szCs w:val="22"/>
      </w:rPr>
      <w:fldChar w:fldCharType="begin"/>
    </w:r>
    <w:r w:rsidRPr="00DA620F">
      <w:rPr>
        <w:sz w:val="22"/>
        <w:szCs w:val="22"/>
      </w:rPr>
      <w:instrText xml:space="preserve"> PAGE   \* MERGEFORMAT </w:instrText>
    </w:r>
    <w:r w:rsidRPr="00DA620F">
      <w:rPr>
        <w:sz w:val="22"/>
        <w:szCs w:val="22"/>
      </w:rPr>
      <w:fldChar w:fldCharType="separate"/>
    </w:r>
    <w:r w:rsidR="00CF3571">
      <w:rPr>
        <w:noProof/>
        <w:sz w:val="22"/>
        <w:szCs w:val="22"/>
      </w:rPr>
      <w:t>5</w:t>
    </w:r>
    <w:r w:rsidRPr="00DA620F">
      <w:rPr>
        <w:sz w:val="22"/>
        <w:szCs w:val="22"/>
      </w:rPr>
      <w:fldChar w:fldCharType="end"/>
    </w:r>
    <w:r w:rsidRPr="00DA620F">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13" w:rsidRPr="007B37F5" w:rsidRDefault="00DD0F13" w:rsidP="00DD0F13">
    <w:pPr>
      <w:ind w:right="198"/>
      <w:rPr>
        <w:noProof/>
        <w:sz w:val="22"/>
        <w:szCs w:val="22"/>
        <w:lang w:eastAsia="zh-TW"/>
      </w:rPr>
    </w:pPr>
    <w:r w:rsidRPr="007B37F5">
      <w:rPr>
        <w:noProof/>
        <w:sz w:val="22"/>
        <w:szCs w:val="22"/>
        <w:lang w:eastAsia="zh-TW"/>
      </w:rPr>
      <w:t>This report summarizes Fall 201</w:t>
    </w:r>
    <w:r w:rsidR="00F43CE8">
      <w:rPr>
        <w:noProof/>
        <w:sz w:val="22"/>
        <w:szCs w:val="22"/>
        <w:lang w:eastAsia="zh-TW"/>
      </w:rPr>
      <w:t>6</w:t>
    </w:r>
    <w:r w:rsidRPr="007B37F5">
      <w:rPr>
        <w:noProof/>
        <w:sz w:val="22"/>
        <w:szCs w:val="22"/>
        <w:lang w:eastAsia="zh-TW"/>
      </w:rPr>
      <w:t xml:space="preserve"> enrollments. Enrollments </w:t>
    </w:r>
    <w:r>
      <w:rPr>
        <w:noProof/>
        <w:sz w:val="22"/>
        <w:szCs w:val="22"/>
        <w:lang w:eastAsia="zh-TW"/>
      </w:rPr>
      <w:t>will be</w:t>
    </w:r>
    <w:r w:rsidRPr="007B37F5">
      <w:rPr>
        <w:noProof/>
        <w:sz w:val="22"/>
        <w:szCs w:val="22"/>
        <w:lang w:eastAsia="zh-TW"/>
      </w:rPr>
      <w:t xml:space="preserve"> described in more detail in the Fall 201</w:t>
    </w:r>
    <w:r w:rsidR="00F43CE8">
      <w:rPr>
        <w:noProof/>
        <w:sz w:val="22"/>
        <w:szCs w:val="22"/>
        <w:lang w:eastAsia="zh-TW"/>
      </w:rPr>
      <w:t>6</w:t>
    </w:r>
    <w:r w:rsidRPr="007B37F5">
      <w:rPr>
        <w:noProof/>
        <w:sz w:val="22"/>
        <w:szCs w:val="22"/>
        <w:lang w:eastAsia="zh-TW"/>
      </w:rPr>
      <w:t xml:space="preserve"> Enrollment and Staffing Report. For specific questions about this report or further information on fall enrollments, contact Devin DuPree at </w:t>
    </w:r>
    <w:hyperlink r:id="rId1" w:history="1">
      <w:r w:rsidRPr="007B37F5">
        <w:rPr>
          <w:rStyle w:val="Hyperlink"/>
          <w:noProof/>
          <w:sz w:val="22"/>
          <w:szCs w:val="22"/>
          <w:lang w:eastAsia="zh-TW"/>
        </w:rPr>
        <w:t>ddupree@sbctc.edu</w:t>
      </w:r>
    </w:hyperlink>
    <w:r w:rsidRPr="007B37F5">
      <w:rPr>
        <w:noProof/>
        <w:sz w:val="22"/>
        <w:szCs w:val="22"/>
        <w:lang w:eastAsia="zh-TW"/>
      </w:rPr>
      <w:t>.</w:t>
    </w:r>
  </w:p>
  <w:p w:rsidR="00DD0F13" w:rsidRDefault="00DD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6A" w:rsidRDefault="00E6746A">
      <w:r>
        <w:separator/>
      </w:r>
    </w:p>
  </w:footnote>
  <w:footnote w:type="continuationSeparator" w:id="0">
    <w:p w:rsidR="00E6746A" w:rsidRDefault="00E67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B3" w:rsidRDefault="00547FB3" w:rsidP="00F64780">
    <w:pPr>
      <w:ind w:right="-360"/>
    </w:pPr>
    <w:r>
      <w:rPr>
        <w:rFonts w:ascii="Arial" w:hAnsi="Arial" w:cs="Arial"/>
        <w:b/>
        <w:noProof/>
        <w:sz w:val="22"/>
        <w:szCs w:val="22"/>
      </w:rPr>
      <w:drawing>
        <wp:anchor distT="0" distB="0" distL="114300" distR="114300" simplePos="0" relativeHeight="251657216" behindDoc="0" locked="0" layoutInCell="1" allowOverlap="1" wp14:anchorId="23623E36" wp14:editId="0AF964A7">
          <wp:simplePos x="0" y="0"/>
          <wp:positionH relativeFrom="column">
            <wp:posOffset>-375285</wp:posOffset>
          </wp:positionH>
          <wp:positionV relativeFrom="paragraph">
            <wp:posOffset>7620</wp:posOffset>
          </wp:positionV>
          <wp:extent cx="1485900" cy="8197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819785"/>
                  </a:xfrm>
                  <a:prstGeom prst="rect">
                    <a:avLst/>
                  </a:prstGeom>
                  <a:noFill/>
                  <a:effectLst/>
                </pic:spPr>
              </pic:pic>
            </a:graphicData>
          </a:graphic>
          <wp14:sizeRelH relativeFrom="page">
            <wp14:pctWidth>0</wp14:pctWidth>
          </wp14:sizeRelH>
          <wp14:sizeRelV relativeFrom="page">
            <wp14:pctHeight>0</wp14:pctHeight>
          </wp14:sizeRelV>
        </wp:anchor>
      </w:drawing>
    </w:r>
  </w:p>
  <w:p w:rsidR="00F64780" w:rsidRDefault="00F64780" w:rsidP="00F64780">
    <w:pPr>
      <w:pStyle w:val="Title"/>
    </w:pPr>
  </w:p>
  <w:p w:rsidR="00547FB3" w:rsidRPr="00FF336E" w:rsidRDefault="00547FB3" w:rsidP="00F64780">
    <w:pPr>
      <w:pStyle w:val="Title"/>
    </w:pPr>
    <w:r w:rsidRPr="003A77B9">
      <w:tab/>
    </w:r>
    <w:r w:rsidRPr="003A77B9">
      <w:tab/>
    </w:r>
    <w:r w:rsidRPr="003A77B9">
      <w:tab/>
    </w:r>
    <w:r w:rsidRPr="003A77B9">
      <w:tab/>
    </w:r>
    <w:r w:rsidRPr="009C3641">
      <w:t>F</w:t>
    </w:r>
    <w:r>
      <w:t>all 201</w:t>
    </w:r>
    <w:r w:rsidR="00371DFA">
      <w:t>6</w:t>
    </w:r>
    <w:r w:rsidRPr="00FF336E">
      <w:t xml:space="preserve"> Enrollment </w:t>
    </w:r>
    <w:r>
      <w:t>Summary</w:t>
    </w:r>
  </w:p>
  <w:p w:rsidR="00547FB3" w:rsidRDefault="00547FB3" w:rsidP="00F64780">
    <w:pPr>
      <w:pStyle w:val="Title"/>
    </w:pPr>
    <w:r>
      <w:t>Washington Community and Technical Colleges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1441E6"/>
    <w:lvl w:ilvl="0">
      <w:numFmt w:val="bullet"/>
      <w:lvlText w:val="*"/>
      <w:lvlJc w:val="left"/>
    </w:lvl>
  </w:abstractNum>
  <w:abstractNum w:abstractNumId="1">
    <w:nsid w:val="06C67DE0"/>
    <w:multiLevelType w:val="hybridMultilevel"/>
    <w:tmpl w:val="8272F5A6"/>
    <w:lvl w:ilvl="0" w:tplc="902EA3F4">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B524DD"/>
    <w:multiLevelType w:val="hybridMultilevel"/>
    <w:tmpl w:val="1F6C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7459C"/>
    <w:multiLevelType w:val="hybridMultilevel"/>
    <w:tmpl w:val="6098FF5C"/>
    <w:lvl w:ilvl="0" w:tplc="902EA3F4">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F50D4"/>
    <w:multiLevelType w:val="hybridMultilevel"/>
    <w:tmpl w:val="6FA21C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9A92504C">
      <w:start w:val="1"/>
      <w:numFmt w:val="bullet"/>
      <w:lvlText w:val=""/>
      <w:lvlJc w:val="left"/>
      <w:pPr>
        <w:ind w:left="720" w:hanging="360"/>
      </w:pPr>
      <w:rPr>
        <w:rFonts w:ascii="Symbol" w:hAnsi="Symbol" w:hint="default"/>
        <w:sz w:val="22"/>
        <w:szCs w:val="22"/>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5">
    <w:nsid w:val="23E53384"/>
    <w:multiLevelType w:val="hybridMultilevel"/>
    <w:tmpl w:val="3F9C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611B4"/>
    <w:multiLevelType w:val="hybridMultilevel"/>
    <w:tmpl w:val="A21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E7DDC"/>
    <w:multiLevelType w:val="hybridMultilevel"/>
    <w:tmpl w:val="8258D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A77E2"/>
    <w:multiLevelType w:val="hybridMultilevel"/>
    <w:tmpl w:val="B0F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73D72"/>
    <w:multiLevelType w:val="hybridMultilevel"/>
    <w:tmpl w:val="13C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B66A4"/>
    <w:multiLevelType w:val="hybridMultilevel"/>
    <w:tmpl w:val="8E04D152"/>
    <w:lvl w:ilvl="0" w:tplc="902EA3F4">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0C61FD"/>
    <w:multiLevelType w:val="hybridMultilevel"/>
    <w:tmpl w:val="C9C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F7127"/>
    <w:multiLevelType w:val="hybridMultilevel"/>
    <w:tmpl w:val="8DD8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A254F0"/>
    <w:multiLevelType w:val="hybridMultilevel"/>
    <w:tmpl w:val="E18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010CB"/>
    <w:multiLevelType w:val="hybridMultilevel"/>
    <w:tmpl w:val="C04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C4DBB"/>
    <w:multiLevelType w:val="hybridMultilevel"/>
    <w:tmpl w:val="76A6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261FB"/>
    <w:multiLevelType w:val="hybridMultilevel"/>
    <w:tmpl w:val="61347F9E"/>
    <w:lvl w:ilvl="0" w:tplc="902EA3F4">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8D7545"/>
    <w:multiLevelType w:val="hybridMultilevel"/>
    <w:tmpl w:val="4CF824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646B3309"/>
    <w:multiLevelType w:val="hybridMultilevel"/>
    <w:tmpl w:val="3C1C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27446"/>
    <w:multiLevelType w:val="hybridMultilevel"/>
    <w:tmpl w:val="0010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038CC"/>
    <w:multiLevelType w:val="hybridMultilevel"/>
    <w:tmpl w:val="58BA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17E99"/>
    <w:multiLevelType w:val="hybridMultilevel"/>
    <w:tmpl w:val="F6C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34ABF"/>
    <w:multiLevelType w:val="hybridMultilevel"/>
    <w:tmpl w:val="9DE0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9"/>
  </w:num>
  <w:num w:numId="5">
    <w:abstractNumId w:val="10"/>
  </w:num>
  <w:num w:numId="6">
    <w:abstractNumId w:val="16"/>
  </w:num>
  <w:num w:numId="7">
    <w:abstractNumId w:val="3"/>
  </w:num>
  <w:num w:numId="8">
    <w:abstractNumId w:val="12"/>
  </w:num>
  <w:num w:numId="9">
    <w:abstractNumId w:val="0"/>
    <w:lvlOverride w:ilvl="0">
      <w:lvl w:ilvl="0">
        <w:numFmt w:val="bullet"/>
        <w:lvlText w:val=""/>
        <w:legacy w:legacy="1" w:legacySpace="0" w:legacyIndent="0"/>
        <w:lvlJc w:val="left"/>
        <w:rPr>
          <w:rFonts w:ascii="Wingdings 2" w:hAnsi="Wingdings 2" w:hint="default"/>
          <w:sz w:val="49"/>
        </w:rPr>
      </w:lvl>
    </w:lvlOverride>
  </w:num>
  <w:num w:numId="10">
    <w:abstractNumId w:val="9"/>
  </w:num>
  <w:num w:numId="11">
    <w:abstractNumId w:val="13"/>
  </w:num>
  <w:num w:numId="12">
    <w:abstractNumId w:val="2"/>
  </w:num>
  <w:num w:numId="13">
    <w:abstractNumId w:val="22"/>
  </w:num>
  <w:num w:numId="14">
    <w:abstractNumId w:val="8"/>
  </w:num>
  <w:num w:numId="15">
    <w:abstractNumId w:val="21"/>
  </w:num>
  <w:num w:numId="16">
    <w:abstractNumId w:val="15"/>
  </w:num>
  <w:num w:numId="17">
    <w:abstractNumId w:val="6"/>
  </w:num>
  <w:num w:numId="18">
    <w:abstractNumId w:val="11"/>
  </w:num>
  <w:num w:numId="19">
    <w:abstractNumId w:val="14"/>
  </w:num>
  <w:num w:numId="20">
    <w:abstractNumId w:val="18"/>
  </w:num>
  <w:num w:numId="21">
    <w:abstractNumId w:val="2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4F"/>
    <w:rsid w:val="000038D6"/>
    <w:rsid w:val="00003B6C"/>
    <w:rsid w:val="00003E83"/>
    <w:rsid w:val="00005030"/>
    <w:rsid w:val="00010AD7"/>
    <w:rsid w:val="00010D3E"/>
    <w:rsid w:val="00010F50"/>
    <w:rsid w:val="00011A6A"/>
    <w:rsid w:val="000145AA"/>
    <w:rsid w:val="000145F8"/>
    <w:rsid w:val="0001532F"/>
    <w:rsid w:val="000155A4"/>
    <w:rsid w:val="0002020F"/>
    <w:rsid w:val="00021684"/>
    <w:rsid w:val="000227AD"/>
    <w:rsid w:val="000232C7"/>
    <w:rsid w:val="00023C9A"/>
    <w:rsid w:val="000257D5"/>
    <w:rsid w:val="00025A35"/>
    <w:rsid w:val="00033695"/>
    <w:rsid w:val="000336C3"/>
    <w:rsid w:val="0003465F"/>
    <w:rsid w:val="000357CD"/>
    <w:rsid w:val="000362F0"/>
    <w:rsid w:val="00040754"/>
    <w:rsid w:val="00040C25"/>
    <w:rsid w:val="00044226"/>
    <w:rsid w:val="000530C6"/>
    <w:rsid w:val="000556D0"/>
    <w:rsid w:val="00060246"/>
    <w:rsid w:val="00061AB2"/>
    <w:rsid w:val="00065521"/>
    <w:rsid w:val="00065CD6"/>
    <w:rsid w:val="000677C3"/>
    <w:rsid w:val="0007078C"/>
    <w:rsid w:val="00071748"/>
    <w:rsid w:val="00071F01"/>
    <w:rsid w:val="00073CD2"/>
    <w:rsid w:val="000749C7"/>
    <w:rsid w:val="00074E68"/>
    <w:rsid w:val="00076C88"/>
    <w:rsid w:val="000776B4"/>
    <w:rsid w:val="000814C5"/>
    <w:rsid w:val="0008227F"/>
    <w:rsid w:val="000842B1"/>
    <w:rsid w:val="00085498"/>
    <w:rsid w:val="000905E9"/>
    <w:rsid w:val="000945E6"/>
    <w:rsid w:val="00094881"/>
    <w:rsid w:val="00094BA4"/>
    <w:rsid w:val="000953F5"/>
    <w:rsid w:val="000A10D0"/>
    <w:rsid w:val="000A1A8C"/>
    <w:rsid w:val="000A7CD5"/>
    <w:rsid w:val="000B1D36"/>
    <w:rsid w:val="000B1E80"/>
    <w:rsid w:val="000B21E4"/>
    <w:rsid w:val="000B2AB9"/>
    <w:rsid w:val="000C108D"/>
    <w:rsid w:val="000C1267"/>
    <w:rsid w:val="000C3847"/>
    <w:rsid w:val="000C61F5"/>
    <w:rsid w:val="000C7748"/>
    <w:rsid w:val="000D00FB"/>
    <w:rsid w:val="000D09A2"/>
    <w:rsid w:val="000D0ED5"/>
    <w:rsid w:val="000D15FF"/>
    <w:rsid w:val="000D1E34"/>
    <w:rsid w:val="000D3298"/>
    <w:rsid w:val="000D4773"/>
    <w:rsid w:val="000D5BB4"/>
    <w:rsid w:val="000D7DE9"/>
    <w:rsid w:val="000E1E20"/>
    <w:rsid w:val="000E2468"/>
    <w:rsid w:val="000E2615"/>
    <w:rsid w:val="000E2B8E"/>
    <w:rsid w:val="000E3274"/>
    <w:rsid w:val="000E3C4C"/>
    <w:rsid w:val="000E4B3B"/>
    <w:rsid w:val="000E5176"/>
    <w:rsid w:val="000E654C"/>
    <w:rsid w:val="000E6E29"/>
    <w:rsid w:val="000E6F54"/>
    <w:rsid w:val="000F075D"/>
    <w:rsid w:val="000F1D2A"/>
    <w:rsid w:val="000F3047"/>
    <w:rsid w:val="000F38F7"/>
    <w:rsid w:val="000F5958"/>
    <w:rsid w:val="000F5E0E"/>
    <w:rsid w:val="000F76BD"/>
    <w:rsid w:val="001020A3"/>
    <w:rsid w:val="001027CA"/>
    <w:rsid w:val="00102919"/>
    <w:rsid w:val="00102C52"/>
    <w:rsid w:val="00103E1B"/>
    <w:rsid w:val="001040B5"/>
    <w:rsid w:val="001041B4"/>
    <w:rsid w:val="00104CAA"/>
    <w:rsid w:val="0011151E"/>
    <w:rsid w:val="00111CC7"/>
    <w:rsid w:val="00114080"/>
    <w:rsid w:val="00114218"/>
    <w:rsid w:val="00115EF8"/>
    <w:rsid w:val="00124BFB"/>
    <w:rsid w:val="00125095"/>
    <w:rsid w:val="001261F7"/>
    <w:rsid w:val="0012761C"/>
    <w:rsid w:val="00130676"/>
    <w:rsid w:val="00140ECF"/>
    <w:rsid w:val="001420A2"/>
    <w:rsid w:val="00142748"/>
    <w:rsid w:val="00143541"/>
    <w:rsid w:val="0014390E"/>
    <w:rsid w:val="0014474F"/>
    <w:rsid w:val="00147733"/>
    <w:rsid w:val="001477AD"/>
    <w:rsid w:val="0015094B"/>
    <w:rsid w:val="00150EDC"/>
    <w:rsid w:val="00153F34"/>
    <w:rsid w:val="00156508"/>
    <w:rsid w:val="0015651A"/>
    <w:rsid w:val="00156B84"/>
    <w:rsid w:val="00156D74"/>
    <w:rsid w:val="0015762F"/>
    <w:rsid w:val="00161457"/>
    <w:rsid w:val="00161C43"/>
    <w:rsid w:val="001625EB"/>
    <w:rsid w:val="001633DD"/>
    <w:rsid w:val="00163BE8"/>
    <w:rsid w:val="00166C2F"/>
    <w:rsid w:val="00166DEB"/>
    <w:rsid w:val="001670D3"/>
    <w:rsid w:val="00167630"/>
    <w:rsid w:val="00170305"/>
    <w:rsid w:val="00170313"/>
    <w:rsid w:val="001705B9"/>
    <w:rsid w:val="00170C97"/>
    <w:rsid w:val="00175485"/>
    <w:rsid w:val="00176194"/>
    <w:rsid w:val="00176646"/>
    <w:rsid w:val="00176D6C"/>
    <w:rsid w:val="0017723F"/>
    <w:rsid w:val="001772F6"/>
    <w:rsid w:val="00180EE0"/>
    <w:rsid w:val="001815CA"/>
    <w:rsid w:val="00181838"/>
    <w:rsid w:val="00183032"/>
    <w:rsid w:val="0018564C"/>
    <w:rsid w:val="00185AF7"/>
    <w:rsid w:val="00186C28"/>
    <w:rsid w:val="00186DAD"/>
    <w:rsid w:val="0018779A"/>
    <w:rsid w:val="00187A51"/>
    <w:rsid w:val="001900C0"/>
    <w:rsid w:val="001901E8"/>
    <w:rsid w:val="001965B4"/>
    <w:rsid w:val="00196AA2"/>
    <w:rsid w:val="001A12AC"/>
    <w:rsid w:val="001A5F5D"/>
    <w:rsid w:val="001B05F5"/>
    <w:rsid w:val="001B15EE"/>
    <w:rsid w:val="001B4F4E"/>
    <w:rsid w:val="001B66AB"/>
    <w:rsid w:val="001B7A5E"/>
    <w:rsid w:val="001C1EEB"/>
    <w:rsid w:val="001C25FC"/>
    <w:rsid w:val="001C335C"/>
    <w:rsid w:val="001C44FD"/>
    <w:rsid w:val="001C5D77"/>
    <w:rsid w:val="001C6FE0"/>
    <w:rsid w:val="001D1695"/>
    <w:rsid w:val="001D1D7F"/>
    <w:rsid w:val="001D1FA5"/>
    <w:rsid w:val="001D26AB"/>
    <w:rsid w:val="001D5671"/>
    <w:rsid w:val="001D5A02"/>
    <w:rsid w:val="001D7348"/>
    <w:rsid w:val="001D7DAA"/>
    <w:rsid w:val="001E113A"/>
    <w:rsid w:val="001E2451"/>
    <w:rsid w:val="001E252A"/>
    <w:rsid w:val="001E485F"/>
    <w:rsid w:val="001E51C9"/>
    <w:rsid w:val="001E523A"/>
    <w:rsid w:val="001E7B5A"/>
    <w:rsid w:val="001F0B78"/>
    <w:rsid w:val="001F10F0"/>
    <w:rsid w:val="001F1457"/>
    <w:rsid w:val="001F1FA2"/>
    <w:rsid w:val="001F21A3"/>
    <w:rsid w:val="001F3189"/>
    <w:rsid w:val="001F3A72"/>
    <w:rsid w:val="001F3AF0"/>
    <w:rsid w:val="001F44B5"/>
    <w:rsid w:val="001F5627"/>
    <w:rsid w:val="001F69C3"/>
    <w:rsid w:val="001F6A7D"/>
    <w:rsid w:val="001F6B83"/>
    <w:rsid w:val="001F7EC8"/>
    <w:rsid w:val="002009E1"/>
    <w:rsid w:val="00203118"/>
    <w:rsid w:val="0020398F"/>
    <w:rsid w:val="0020464D"/>
    <w:rsid w:val="00210B0B"/>
    <w:rsid w:val="0021445F"/>
    <w:rsid w:val="00214E75"/>
    <w:rsid w:val="002163C4"/>
    <w:rsid w:val="00216849"/>
    <w:rsid w:val="00216DAD"/>
    <w:rsid w:val="0021700E"/>
    <w:rsid w:val="0021797A"/>
    <w:rsid w:val="00220056"/>
    <w:rsid w:val="00220491"/>
    <w:rsid w:val="00222676"/>
    <w:rsid w:val="002313A3"/>
    <w:rsid w:val="002314A5"/>
    <w:rsid w:val="002314A7"/>
    <w:rsid w:val="00231D21"/>
    <w:rsid w:val="002360BE"/>
    <w:rsid w:val="002370DF"/>
    <w:rsid w:val="00240B45"/>
    <w:rsid w:val="00240CAC"/>
    <w:rsid w:val="00241DC8"/>
    <w:rsid w:val="0025317F"/>
    <w:rsid w:val="002532AF"/>
    <w:rsid w:val="00254D8A"/>
    <w:rsid w:val="00255C6D"/>
    <w:rsid w:val="002568E5"/>
    <w:rsid w:val="00257A26"/>
    <w:rsid w:val="00257CB3"/>
    <w:rsid w:val="00260C5D"/>
    <w:rsid w:val="00263370"/>
    <w:rsid w:val="002637FC"/>
    <w:rsid w:val="00263C4B"/>
    <w:rsid w:val="002670C5"/>
    <w:rsid w:val="00271AE5"/>
    <w:rsid w:val="00271F79"/>
    <w:rsid w:val="0027207D"/>
    <w:rsid w:val="00272D58"/>
    <w:rsid w:val="00272D6E"/>
    <w:rsid w:val="0027466C"/>
    <w:rsid w:val="002751DC"/>
    <w:rsid w:val="00275F13"/>
    <w:rsid w:val="00276309"/>
    <w:rsid w:val="0027633A"/>
    <w:rsid w:val="0027680D"/>
    <w:rsid w:val="002813DE"/>
    <w:rsid w:val="0028207A"/>
    <w:rsid w:val="00282B43"/>
    <w:rsid w:val="00283BFB"/>
    <w:rsid w:val="00283ED1"/>
    <w:rsid w:val="0028494F"/>
    <w:rsid w:val="002867A5"/>
    <w:rsid w:val="00291BE2"/>
    <w:rsid w:val="002926FA"/>
    <w:rsid w:val="00297E3C"/>
    <w:rsid w:val="002A15A0"/>
    <w:rsid w:val="002A2C39"/>
    <w:rsid w:val="002A4A3C"/>
    <w:rsid w:val="002A5378"/>
    <w:rsid w:val="002B27BC"/>
    <w:rsid w:val="002B28AA"/>
    <w:rsid w:val="002B2DFF"/>
    <w:rsid w:val="002B35D4"/>
    <w:rsid w:val="002B3620"/>
    <w:rsid w:val="002B3A92"/>
    <w:rsid w:val="002B409E"/>
    <w:rsid w:val="002B55BC"/>
    <w:rsid w:val="002B6038"/>
    <w:rsid w:val="002C1234"/>
    <w:rsid w:val="002C15E7"/>
    <w:rsid w:val="002C30B9"/>
    <w:rsid w:val="002C3FDA"/>
    <w:rsid w:val="002C478D"/>
    <w:rsid w:val="002C4AAE"/>
    <w:rsid w:val="002C5D96"/>
    <w:rsid w:val="002C6845"/>
    <w:rsid w:val="002C6890"/>
    <w:rsid w:val="002C71D3"/>
    <w:rsid w:val="002D0D52"/>
    <w:rsid w:val="002D0F21"/>
    <w:rsid w:val="002D11AC"/>
    <w:rsid w:val="002D230E"/>
    <w:rsid w:val="002D2AD3"/>
    <w:rsid w:val="002E07AD"/>
    <w:rsid w:val="002E22B6"/>
    <w:rsid w:val="002E3831"/>
    <w:rsid w:val="002E4C00"/>
    <w:rsid w:val="002E7F0E"/>
    <w:rsid w:val="002F0378"/>
    <w:rsid w:val="002F0685"/>
    <w:rsid w:val="002F1C32"/>
    <w:rsid w:val="002F296F"/>
    <w:rsid w:val="002F2AD4"/>
    <w:rsid w:val="002F2F09"/>
    <w:rsid w:val="00300110"/>
    <w:rsid w:val="0030029D"/>
    <w:rsid w:val="003008C1"/>
    <w:rsid w:val="00300CBF"/>
    <w:rsid w:val="003016A2"/>
    <w:rsid w:val="003022C0"/>
    <w:rsid w:val="00303551"/>
    <w:rsid w:val="00305BCF"/>
    <w:rsid w:val="00310725"/>
    <w:rsid w:val="00310A89"/>
    <w:rsid w:val="003117E7"/>
    <w:rsid w:val="003135E9"/>
    <w:rsid w:val="003149B5"/>
    <w:rsid w:val="00315C92"/>
    <w:rsid w:val="00316EE7"/>
    <w:rsid w:val="00322154"/>
    <w:rsid w:val="00323A4A"/>
    <w:rsid w:val="00324CD8"/>
    <w:rsid w:val="00325010"/>
    <w:rsid w:val="00325D7D"/>
    <w:rsid w:val="0032654E"/>
    <w:rsid w:val="00327109"/>
    <w:rsid w:val="00327C20"/>
    <w:rsid w:val="00327EE1"/>
    <w:rsid w:val="003310F7"/>
    <w:rsid w:val="00331556"/>
    <w:rsid w:val="00331F7B"/>
    <w:rsid w:val="003323E3"/>
    <w:rsid w:val="0033269D"/>
    <w:rsid w:val="00332A52"/>
    <w:rsid w:val="003336CB"/>
    <w:rsid w:val="003337C9"/>
    <w:rsid w:val="00335BC0"/>
    <w:rsid w:val="003368F5"/>
    <w:rsid w:val="003431B6"/>
    <w:rsid w:val="003452F8"/>
    <w:rsid w:val="00345FFC"/>
    <w:rsid w:val="00346FC9"/>
    <w:rsid w:val="00352D23"/>
    <w:rsid w:val="00352F46"/>
    <w:rsid w:val="00355284"/>
    <w:rsid w:val="00356B04"/>
    <w:rsid w:val="0036150F"/>
    <w:rsid w:val="003626C3"/>
    <w:rsid w:val="003633EE"/>
    <w:rsid w:val="003661FB"/>
    <w:rsid w:val="00370AB0"/>
    <w:rsid w:val="00370C82"/>
    <w:rsid w:val="003711C8"/>
    <w:rsid w:val="00371DFA"/>
    <w:rsid w:val="003720FE"/>
    <w:rsid w:val="0037237E"/>
    <w:rsid w:val="00372E06"/>
    <w:rsid w:val="00374136"/>
    <w:rsid w:val="00374912"/>
    <w:rsid w:val="00374A51"/>
    <w:rsid w:val="00376CE6"/>
    <w:rsid w:val="00377ABB"/>
    <w:rsid w:val="0038001F"/>
    <w:rsid w:val="0038026D"/>
    <w:rsid w:val="003805F9"/>
    <w:rsid w:val="00383048"/>
    <w:rsid w:val="0038320D"/>
    <w:rsid w:val="00384615"/>
    <w:rsid w:val="003856E7"/>
    <w:rsid w:val="003863A2"/>
    <w:rsid w:val="0039114F"/>
    <w:rsid w:val="0039123A"/>
    <w:rsid w:val="00393636"/>
    <w:rsid w:val="00393B7A"/>
    <w:rsid w:val="00393D53"/>
    <w:rsid w:val="0039519A"/>
    <w:rsid w:val="00397946"/>
    <w:rsid w:val="003A1940"/>
    <w:rsid w:val="003A3E75"/>
    <w:rsid w:val="003A5357"/>
    <w:rsid w:val="003A6FF7"/>
    <w:rsid w:val="003A77B9"/>
    <w:rsid w:val="003B2154"/>
    <w:rsid w:val="003B779D"/>
    <w:rsid w:val="003B7EEF"/>
    <w:rsid w:val="003C0451"/>
    <w:rsid w:val="003C070A"/>
    <w:rsid w:val="003C076B"/>
    <w:rsid w:val="003C1B41"/>
    <w:rsid w:val="003C1D21"/>
    <w:rsid w:val="003C2900"/>
    <w:rsid w:val="003C2A07"/>
    <w:rsid w:val="003C3595"/>
    <w:rsid w:val="003C4408"/>
    <w:rsid w:val="003C4F75"/>
    <w:rsid w:val="003C57DC"/>
    <w:rsid w:val="003C72C4"/>
    <w:rsid w:val="003D11BA"/>
    <w:rsid w:val="003D1A3C"/>
    <w:rsid w:val="003D318F"/>
    <w:rsid w:val="003D3BD0"/>
    <w:rsid w:val="003D3C4F"/>
    <w:rsid w:val="003D7498"/>
    <w:rsid w:val="003E0551"/>
    <w:rsid w:val="003E0D80"/>
    <w:rsid w:val="003E2B48"/>
    <w:rsid w:val="003E2CB4"/>
    <w:rsid w:val="003E38E9"/>
    <w:rsid w:val="003E3FE7"/>
    <w:rsid w:val="003E7B97"/>
    <w:rsid w:val="003F14E8"/>
    <w:rsid w:val="003F1FF4"/>
    <w:rsid w:val="003F5B34"/>
    <w:rsid w:val="003F67DB"/>
    <w:rsid w:val="003F6E73"/>
    <w:rsid w:val="003F767C"/>
    <w:rsid w:val="003F78AB"/>
    <w:rsid w:val="003F7F53"/>
    <w:rsid w:val="00400A6F"/>
    <w:rsid w:val="00400BB7"/>
    <w:rsid w:val="004022A0"/>
    <w:rsid w:val="004024AD"/>
    <w:rsid w:val="0040509E"/>
    <w:rsid w:val="004065A5"/>
    <w:rsid w:val="00407A1C"/>
    <w:rsid w:val="00407A75"/>
    <w:rsid w:val="00407E73"/>
    <w:rsid w:val="004100CE"/>
    <w:rsid w:val="00410604"/>
    <w:rsid w:val="00410914"/>
    <w:rsid w:val="0041224D"/>
    <w:rsid w:val="00415B59"/>
    <w:rsid w:val="00417B2B"/>
    <w:rsid w:val="00417BB7"/>
    <w:rsid w:val="0042064C"/>
    <w:rsid w:val="00420B25"/>
    <w:rsid w:val="0042159E"/>
    <w:rsid w:val="00421A80"/>
    <w:rsid w:val="00421D96"/>
    <w:rsid w:val="00422ED5"/>
    <w:rsid w:val="004238FF"/>
    <w:rsid w:val="004240DB"/>
    <w:rsid w:val="00424D23"/>
    <w:rsid w:val="00425F5F"/>
    <w:rsid w:val="00426AF7"/>
    <w:rsid w:val="004274E6"/>
    <w:rsid w:val="00430686"/>
    <w:rsid w:val="004314C0"/>
    <w:rsid w:val="00434AF2"/>
    <w:rsid w:val="00434D12"/>
    <w:rsid w:val="00435A65"/>
    <w:rsid w:val="0044165A"/>
    <w:rsid w:val="00444F8D"/>
    <w:rsid w:val="0044588D"/>
    <w:rsid w:val="004474CE"/>
    <w:rsid w:val="004477B9"/>
    <w:rsid w:val="004509B9"/>
    <w:rsid w:val="00452840"/>
    <w:rsid w:val="00453715"/>
    <w:rsid w:val="004548F4"/>
    <w:rsid w:val="0046070C"/>
    <w:rsid w:val="00460DFE"/>
    <w:rsid w:val="00461311"/>
    <w:rsid w:val="0046385C"/>
    <w:rsid w:val="00463AA2"/>
    <w:rsid w:val="00464A02"/>
    <w:rsid w:val="00464FD1"/>
    <w:rsid w:val="004669BB"/>
    <w:rsid w:val="00467DF7"/>
    <w:rsid w:val="00470651"/>
    <w:rsid w:val="00470E4E"/>
    <w:rsid w:val="004711CC"/>
    <w:rsid w:val="004718BC"/>
    <w:rsid w:val="004722CC"/>
    <w:rsid w:val="00474654"/>
    <w:rsid w:val="00477867"/>
    <w:rsid w:val="00477EAB"/>
    <w:rsid w:val="00480203"/>
    <w:rsid w:val="00481BE3"/>
    <w:rsid w:val="00481EAE"/>
    <w:rsid w:val="00484E14"/>
    <w:rsid w:val="00484FCC"/>
    <w:rsid w:val="00485C8C"/>
    <w:rsid w:val="00486069"/>
    <w:rsid w:val="004863D5"/>
    <w:rsid w:val="004867EF"/>
    <w:rsid w:val="00487702"/>
    <w:rsid w:val="004905D3"/>
    <w:rsid w:val="004918AD"/>
    <w:rsid w:val="00493CE9"/>
    <w:rsid w:val="0049401E"/>
    <w:rsid w:val="004945D3"/>
    <w:rsid w:val="004948E5"/>
    <w:rsid w:val="00495D68"/>
    <w:rsid w:val="004A0CC9"/>
    <w:rsid w:val="004A1C74"/>
    <w:rsid w:val="004A33B5"/>
    <w:rsid w:val="004A727B"/>
    <w:rsid w:val="004B0760"/>
    <w:rsid w:val="004B15B5"/>
    <w:rsid w:val="004B2A04"/>
    <w:rsid w:val="004B39B7"/>
    <w:rsid w:val="004B4791"/>
    <w:rsid w:val="004B553C"/>
    <w:rsid w:val="004B59CE"/>
    <w:rsid w:val="004B725D"/>
    <w:rsid w:val="004C0CE2"/>
    <w:rsid w:val="004C2789"/>
    <w:rsid w:val="004C72AD"/>
    <w:rsid w:val="004D01F9"/>
    <w:rsid w:val="004D0946"/>
    <w:rsid w:val="004D1C70"/>
    <w:rsid w:val="004D2A7E"/>
    <w:rsid w:val="004D2E5F"/>
    <w:rsid w:val="004D3721"/>
    <w:rsid w:val="004D37EF"/>
    <w:rsid w:val="004D44D3"/>
    <w:rsid w:val="004D4CC2"/>
    <w:rsid w:val="004D4E74"/>
    <w:rsid w:val="004D617F"/>
    <w:rsid w:val="004D6769"/>
    <w:rsid w:val="004D6FF5"/>
    <w:rsid w:val="004E02D8"/>
    <w:rsid w:val="004E05DE"/>
    <w:rsid w:val="004E09DB"/>
    <w:rsid w:val="004E0F32"/>
    <w:rsid w:val="004E2753"/>
    <w:rsid w:val="004E7156"/>
    <w:rsid w:val="004F0AC8"/>
    <w:rsid w:val="004F10B3"/>
    <w:rsid w:val="004F41BF"/>
    <w:rsid w:val="004F62FB"/>
    <w:rsid w:val="004F6838"/>
    <w:rsid w:val="00500B26"/>
    <w:rsid w:val="00503B46"/>
    <w:rsid w:val="00507191"/>
    <w:rsid w:val="00507785"/>
    <w:rsid w:val="005077F0"/>
    <w:rsid w:val="00511376"/>
    <w:rsid w:val="0051191A"/>
    <w:rsid w:val="00511DE8"/>
    <w:rsid w:val="00512412"/>
    <w:rsid w:val="00517E6F"/>
    <w:rsid w:val="00521212"/>
    <w:rsid w:val="005237B5"/>
    <w:rsid w:val="005264E8"/>
    <w:rsid w:val="00526783"/>
    <w:rsid w:val="005278C2"/>
    <w:rsid w:val="00530E43"/>
    <w:rsid w:val="0053217A"/>
    <w:rsid w:val="005414E7"/>
    <w:rsid w:val="00541F30"/>
    <w:rsid w:val="00542295"/>
    <w:rsid w:val="00544833"/>
    <w:rsid w:val="00544A61"/>
    <w:rsid w:val="00544B85"/>
    <w:rsid w:val="00547FB3"/>
    <w:rsid w:val="00550556"/>
    <w:rsid w:val="0055128A"/>
    <w:rsid w:val="00553A1B"/>
    <w:rsid w:val="00554034"/>
    <w:rsid w:val="00555B13"/>
    <w:rsid w:val="005562F5"/>
    <w:rsid w:val="00556BD4"/>
    <w:rsid w:val="00556D8D"/>
    <w:rsid w:val="005570C4"/>
    <w:rsid w:val="00557592"/>
    <w:rsid w:val="005609F3"/>
    <w:rsid w:val="00562D51"/>
    <w:rsid w:val="0056388E"/>
    <w:rsid w:val="0056444E"/>
    <w:rsid w:val="00564931"/>
    <w:rsid w:val="00564D17"/>
    <w:rsid w:val="00565BB4"/>
    <w:rsid w:val="0056720C"/>
    <w:rsid w:val="00570755"/>
    <w:rsid w:val="00570D14"/>
    <w:rsid w:val="00571478"/>
    <w:rsid w:val="00571860"/>
    <w:rsid w:val="00572AB1"/>
    <w:rsid w:val="00573B7B"/>
    <w:rsid w:val="005748C5"/>
    <w:rsid w:val="0057546F"/>
    <w:rsid w:val="00580B76"/>
    <w:rsid w:val="00581387"/>
    <w:rsid w:val="005823E2"/>
    <w:rsid w:val="00593D88"/>
    <w:rsid w:val="00593F36"/>
    <w:rsid w:val="005951C8"/>
    <w:rsid w:val="00595B4B"/>
    <w:rsid w:val="005978B3"/>
    <w:rsid w:val="005A0455"/>
    <w:rsid w:val="005A1BDE"/>
    <w:rsid w:val="005A2A4D"/>
    <w:rsid w:val="005A2BB3"/>
    <w:rsid w:val="005A6FAD"/>
    <w:rsid w:val="005B05E0"/>
    <w:rsid w:val="005B0F24"/>
    <w:rsid w:val="005B14D8"/>
    <w:rsid w:val="005B16E4"/>
    <w:rsid w:val="005B3EE2"/>
    <w:rsid w:val="005B4FEA"/>
    <w:rsid w:val="005B5A50"/>
    <w:rsid w:val="005B7554"/>
    <w:rsid w:val="005B7B1B"/>
    <w:rsid w:val="005B7FD9"/>
    <w:rsid w:val="005C254E"/>
    <w:rsid w:val="005C2751"/>
    <w:rsid w:val="005C35F0"/>
    <w:rsid w:val="005C5CD6"/>
    <w:rsid w:val="005C728B"/>
    <w:rsid w:val="005D265A"/>
    <w:rsid w:val="005D2ED6"/>
    <w:rsid w:val="005D7D2B"/>
    <w:rsid w:val="005E0A21"/>
    <w:rsid w:val="005E1221"/>
    <w:rsid w:val="005E2147"/>
    <w:rsid w:val="005E272E"/>
    <w:rsid w:val="005E5274"/>
    <w:rsid w:val="005E5469"/>
    <w:rsid w:val="005E6A74"/>
    <w:rsid w:val="005E79DC"/>
    <w:rsid w:val="005F1A76"/>
    <w:rsid w:val="005F269E"/>
    <w:rsid w:val="005F2779"/>
    <w:rsid w:val="005F3666"/>
    <w:rsid w:val="005F4BD0"/>
    <w:rsid w:val="005F565F"/>
    <w:rsid w:val="005F5A41"/>
    <w:rsid w:val="005F6A2B"/>
    <w:rsid w:val="00600935"/>
    <w:rsid w:val="00601234"/>
    <w:rsid w:val="00602C10"/>
    <w:rsid w:val="006034F8"/>
    <w:rsid w:val="006046A5"/>
    <w:rsid w:val="00604C69"/>
    <w:rsid w:val="0060509F"/>
    <w:rsid w:val="006055AB"/>
    <w:rsid w:val="00606619"/>
    <w:rsid w:val="00607FD0"/>
    <w:rsid w:val="00610633"/>
    <w:rsid w:val="00610BF5"/>
    <w:rsid w:val="00611A3B"/>
    <w:rsid w:val="00613030"/>
    <w:rsid w:val="0061796C"/>
    <w:rsid w:val="00625A8A"/>
    <w:rsid w:val="006302CB"/>
    <w:rsid w:val="006309DE"/>
    <w:rsid w:val="006318F6"/>
    <w:rsid w:val="006330E4"/>
    <w:rsid w:val="00635658"/>
    <w:rsid w:val="006421D9"/>
    <w:rsid w:val="00642494"/>
    <w:rsid w:val="00643033"/>
    <w:rsid w:val="00644A0B"/>
    <w:rsid w:val="00644ACB"/>
    <w:rsid w:val="006456FC"/>
    <w:rsid w:val="00645BC9"/>
    <w:rsid w:val="0064781C"/>
    <w:rsid w:val="00650925"/>
    <w:rsid w:val="00650A7D"/>
    <w:rsid w:val="006510BF"/>
    <w:rsid w:val="006522AD"/>
    <w:rsid w:val="0065374C"/>
    <w:rsid w:val="0065374F"/>
    <w:rsid w:val="006561C2"/>
    <w:rsid w:val="00662804"/>
    <w:rsid w:val="006668D2"/>
    <w:rsid w:val="00670107"/>
    <w:rsid w:val="00670354"/>
    <w:rsid w:val="00670428"/>
    <w:rsid w:val="00671B2A"/>
    <w:rsid w:val="00671E70"/>
    <w:rsid w:val="00672192"/>
    <w:rsid w:val="00676264"/>
    <w:rsid w:val="00680FAF"/>
    <w:rsid w:val="00681CD5"/>
    <w:rsid w:val="00684AE3"/>
    <w:rsid w:val="006878FE"/>
    <w:rsid w:val="006900EB"/>
    <w:rsid w:val="0069123F"/>
    <w:rsid w:val="006931DC"/>
    <w:rsid w:val="00694822"/>
    <w:rsid w:val="00694935"/>
    <w:rsid w:val="00696C10"/>
    <w:rsid w:val="006970E1"/>
    <w:rsid w:val="00697719"/>
    <w:rsid w:val="006A164B"/>
    <w:rsid w:val="006A3EE0"/>
    <w:rsid w:val="006A41A2"/>
    <w:rsid w:val="006A4537"/>
    <w:rsid w:val="006A495F"/>
    <w:rsid w:val="006A4ADC"/>
    <w:rsid w:val="006A509A"/>
    <w:rsid w:val="006A5381"/>
    <w:rsid w:val="006A71B8"/>
    <w:rsid w:val="006B0B80"/>
    <w:rsid w:val="006B11EF"/>
    <w:rsid w:val="006B3D61"/>
    <w:rsid w:val="006B4753"/>
    <w:rsid w:val="006B49A7"/>
    <w:rsid w:val="006B4A3D"/>
    <w:rsid w:val="006B539C"/>
    <w:rsid w:val="006B6311"/>
    <w:rsid w:val="006C06F8"/>
    <w:rsid w:val="006C24B3"/>
    <w:rsid w:val="006C2F02"/>
    <w:rsid w:val="006C3F4C"/>
    <w:rsid w:val="006C4771"/>
    <w:rsid w:val="006C52CB"/>
    <w:rsid w:val="006C577B"/>
    <w:rsid w:val="006C66EC"/>
    <w:rsid w:val="006C7FBB"/>
    <w:rsid w:val="006D0319"/>
    <w:rsid w:val="006D0F94"/>
    <w:rsid w:val="006D1771"/>
    <w:rsid w:val="006D4A6D"/>
    <w:rsid w:val="006D6304"/>
    <w:rsid w:val="006D7016"/>
    <w:rsid w:val="006E00FE"/>
    <w:rsid w:val="006E077F"/>
    <w:rsid w:val="006E3A8B"/>
    <w:rsid w:val="006E4A64"/>
    <w:rsid w:val="006E5851"/>
    <w:rsid w:val="006E5ABA"/>
    <w:rsid w:val="006E77A5"/>
    <w:rsid w:val="006E780B"/>
    <w:rsid w:val="006F057B"/>
    <w:rsid w:val="006F262C"/>
    <w:rsid w:val="006F3702"/>
    <w:rsid w:val="006F4691"/>
    <w:rsid w:val="006F49D1"/>
    <w:rsid w:val="006F6367"/>
    <w:rsid w:val="006F64E9"/>
    <w:rsid w:val="007000AA"/>
    <w:rsid w:val="007067EC"/>
    <w:rsid w:val="007076C9"/>
    <w:rsid w:val="00710303"/>
    <w:rsid w:val="00712158"/>
    <w:rsid w:val="00713F11"/>
    <w:rsid w:val="00714260"/>
    <w:rsid w:val="00717650"/>
    <w:rsid w:val="00720914"/>
    <w:rsid w:val="00720CFF"/>
    <w:rsid w:val="007225EC"/>
    <w:rsid w:val="00723144"/>
    <w:rsid w:val="007231B3"/>
    <w:rsid w:val="0072380F"/>
    <w:rsid w:val="00723FA1"/>
    <w:rsid w:val="00723FC3"/>
    <w:rsid w:val="00726CD5"/>
    <w:rsid w:val="00727059"/>
    <w:rsid w:val="00730842"/>
    <w:rsid w:val="0073107D"/>
    <w:rsid w:val="00731B3A"/>
    <w:rsid w:val="007346AB"/>
    <w:rsid w:val="007346F5"/>
    <w:rsid w:val="00735707"/>
    <w:rsid w:val="00736CA5"/>
    <w:rsid w:val="0073751C"/>
    <w:rsid w:val="00740F76"/>
    <w:rsid w:val="007421D9"/>
    <w:rsid w:val="00742FE3"/>
    <w:rsid w:val="00743933"/>
    <w:rsid w:val="00743BBD"/>
    <w:rsid w:val="00747057"/>
    <w:rsid w:val="00751B1D"/>
    <w:rsid w:val="00751E8C"/>
    <w:rsid w:val="007522D9"/>
    <w:rsid w:val="0075363F"/>
    <w:rsid w:val="00754B21"/>
    <w:rsid w:val="0075510C"/>
    <w:rsid w:val="0075542C"/>
    <w:rsid w:val="00760C2E"/>
    <w:rsid w:val="007612B8"/>
    <w:rsid w:val="00761945"/>
    <w:rsid w:val="0076373C"/>
    <w:rsid w:val="00764482"/>
    <w:rsid w:val="007667AE"/>
    <w:rsid w:val="007704F3"/>
    <w:rsid w:val="007711F0"/>
    <w:rsid w:val="00771BE2"/>
    <w:rsid w:val="007737A1"/>
    <w:rsid w:val="00773B52"/>
    <w:rsid w:val="00775535"/>
    <w:rsid w:val="007767EE"/>
    <w:rsid w:val="00776B06"/>
    <w:rsid w:val="00780DE4"/>
    <w:rsid w:val="00781CD2"/>
    <w:rsid w:val="007833A1"/>
    <w:rsid w:val="007842A3"/>
    <w:rsid w:val="00784BDF"/>
    <w:rsid w:val="007851DE"/>
    <w:rsid w:val="00785F9B"/>
    <w:rsid w:val="007862B4"/>
    <w:rsid w:val="00786A52"/>
    <w:rsid w:val="00787654"/>
    <w:rsid w:val="007910EF"/>
    <w:rsid w:val="00791DE3"/>
    <w:rsid w:val="00791FD7"/>
    <w:rsid w:val="007925D3"/>
    <w:rsid w:val="0079294B"/>
    <w:rsid w:val="007933BE"/>
    <w:rsid w:val="007947C0"/>
    <w:rsid w:val="00794B2B"/>
    <w:rsid w:val="00794E7F"/>
    <w:rsid w:val="00796275"/>
    <w:rsid w:val="00797097"/>
    <w:rsid w:val="00797FA2"/>
    <w:rsid w:val="007A0078"/>
    <w:rsid w:val="007A0504"/>
    <w:rsid w:val="007A21D3"/>
    <w:rsid w:val="007A36B8"/>
    <w:rsid w:val="007A3D88"/>
    <w:rsid w:val="007A44E6"/>
    <w:rsid w:val="007A45AC"/>
    <w:rsid w:val="007A6C4A"/>
    <w:rsid w:val="007A7E8A"/>
    <w:rsid w:val="007B2429"/>
    <w:rsid w:val="007B37F5"/>
    <w:rsid w:val="007B3BA4"/>
    <w:rsid w:val="007B6420"/>
    <w:rsid w:val="007B643A"/>
    <w:rsid w:val="007B7155"/>
    <w:rsid w:val="007B7240"/>
    <w:rsid w:val="007C04AB"/>
    <w:rsid w:val="007C058C"/>
    <w:rsid w:val="007C1EEA"/>
    <w:rsid w:val="007C21FB"/>
    <w:rsid w:val="007C26E5"/>
    <w:rsid w:val="007C33E8"/>
    <w:rsid w:val="007C47A4"/>
    <w:rsid w:val="007C4896"/>
    <w:rsid w:val="007C6B14"/>
    <w:rsid w:val="007D1A30"/>
    <w:rsid w:val="007D34C8"/>
    <w:rsid w:val="007D4656"/>
    <w:rsid w:val="007D50D4"/>
    <w:rsid w:val="007D58CD"/>
    <w:rsid w:val="007D59BE"/>
    <w:rsid w:val="007E05CB"/>
    <w:rsid w:val="007E3FA7"/>
    <w:rsid w:val="007E5E0C"/>
    <w:rsid w:val="007E72FF"/>
    <w:rsid w:val="007F46D3"/>
    <w:rsid w:val="007F67A0"/>
    <w:rsid w:val="00801197"/>
    <w:rsid w:val="008020F3"/>
    <w:rsid w:val="00802A7E"/>
    <w:rsid w:val="00802B06"/>
    <w:rsid w:val="00804AEA"/>
    <w:rsid w:val="008070EE"/>
    <w:rsid w:val="008078CB"/>
    <w:rsid w:val="0081338B"/>
    <w:rsid w:val="0081465D"/>
    <w:rsid w:val="00815EE7"/>
    <w:rsid w:val="00817B11"/>
    <w:rsid w:val="00820009"/>
    <w:rsid w:val="00821B40"/>
    <w:rsid w:val="00822781"/>
    <w:rsid w:val="0082290A"/>
    <w:rsid w:val="008235C2"/>
    <w:rsid w:val="00824E0E"/>
    <w:rsid w:val="00825E9A"/>
    <w:rsid w:val="00826134"/>
    <w:rsid w:val="0082779C"/>
    <w:rsid w:val="00827F79"/>
    <w:rsid w:val="00830272"/>
    <w:rsid w:val="00831D84"/>
    <w:rsid w:val="008325B6"/>
    <w:rsid w:val="00833E7F"/>
    <w:rsid w:val="00834F83"/>
    <w:rsid w:val="0083622E"/>
    <w:rsid w:val="008362BC"/>
    <w:rsid w:val="00841FEB"/>
    <w:rsid w:val="008425AF"/>
    <w:rsid w:val="00843EB2"/>
    <w:rsid w:val="008451ED"/>
    <w:rsid w:val="00845268"/>
    <w:rsid w:val="00845452"/>
    <w:rsid w:val="008502B3"/>
    <w:rsid w:val="008502C0"/>
    <w:rsid w:val="00854F08"/>
    <w:rsid w:val="0085563F"/>
    <w:rsid w:val="0085635E"/>
    <w:rsid w:val="00856378"/>
    <w:rsid w:val="00856DC1"/>
    <w:rsid w:val="0086242D"/>
    <w:rsid w:val="00862B91"/>
    <w:rsid w:val="00863351"/>
    <w:rsid w:val="008645CE"/>
    <w:rsid w:val="00864B9E"/>
    <w:rsid w:val="008654F5"/>
    <w:rsid w:val="00865E93"/>
    <w:rsid w:val="00866837"/>
    <w:rsid w:val="00866F31"/>
    <w:rsid w:val="00867962"/>
    <w:rsid w:val="008724D7"/>
    <w:rsid w:val="0087284C"/>
    <w:rsid w:val="00872EF0"/>
    <w:rsid w:val="008732B0"/>
    <w:rsid w:val="0087435E"/>
    <w:rsid w:val="00874B96"/>
    <w:rsid w:val="00877C1F"/>
    <w:rsid w:val="008800C1"/>
    <w:rsid w:val="00885A9D"/>
    <w:rsid w:val="00886B85"/>
    <w:rsid w:val="00886E8F"/>
    <w:rsid w:val="008872B6"/>
    <w:rsid w:val="0089169B"/>
    <w:rsid w:val="0089542C"/>
    <w:rsid w:val="00895843"/>
    <w:rsid w:val="00895CC7"/>
    <w:rsid w:val="00895DE8"/>
    <w:rsid w:val="0089609E"/>
    <w:rsid w:val="0089648B"/>
    <w:rsid w:val="00896881"/>
    <w:rsid w:val="008973FA"/>
    <w:rsid w:val="008A15A6"/>
    <w:rsid w:val="008A1E98"/>
    <w:rsid w:val="008A2227"/>
    <w:rsid w:val="008A35C8"/>
    <w:rsid w:val="008A5D87"/>
    <w:rsid w:val="008A7C69"/>
    <w:rsid w:val="008B0B2C"/>
    <w:rsid w:val="008B0BB1"/>
    <w:rsid w:val="008B0D6D"/>
    <w:rsid w:val="008B0DB3"/>
    <w:rsid w:val="008B1CE2"/>
    <w:rsid w:val="008B5FEC"/>
    <w:rsid w:val="008B61D3"/>
    <w:rsid w:val="008B79A0"/>
    <w:rsid w:val="008C0307"/>
    <w:rsid w:val="008C1DF4"/>
    <w:rsid w:val="008C4AD0"/>
    <w:rsid w:val="008C58DF"/>
    <w:rsid w:val="008D1CE3"/>
    <w:rsid w:val="008D294B"/>
    <w:rsid w:val="008D2FAD"/>
    <w:rsid w:val="008D3D66"/>
    <w:rsid w:val="008D3E45"/>
    <w:rsid w:val="008D4B07"/>
    <w:rsid w:val="008D5079"/>
    <w:rsid w:val="008D5341"/>
    <w:rsid w:val="008D65A3"/>
    <w:rsid w:val="008D74E7"/>
    <w:rsid w:val="008E0A1B"/>
    <w:rsid w:val="008E142A"/>
    <w:rsid w:val="008E227E"/>
    <w:rsid w:val="008E337D"/>
    <w:rsid w:val="008E3E52"/>
    <w:rsid w:val="008E42E8"/>
    <w:rsid w:val="008E42FE"/>
    <w:rsid w:val="008E53D9"/>
    <w:rsid w:val="008E6B7A"/>
    <w:rsid w:val="008F0097"/>
    <w:rsid w:val="008F14A6"/>
    <w:rsid w:val="008F4054"/>
    <w:rsid w:val="008F5474"/>
    <w:rsid w:val="008F5CE5"/>
    <w:rsid w:val="008F7FB8"/>
    <w:rsid w:val="009014A1"/>
    <w:rsid w:val="0090164A"/>
    <w:rsid w:val="009020B0"/>
    <w:rsid w:val="009020D6"/>
    <w:rsid w:val="009024D3"/>
    <w:rsid w:val="00904EA9"/>
    <w:rsid w:val="00904F1D"/>
    <w:rsid w:val="00906F65"/>
    <w:rsid w:val="0090746E"/>
    <w:rsid w:val="00911108"/>
    <w:rsid w:val="00913670"/>
    <w:rsid w:val="009149EB"/>
    <w:rsid w:val="00915205"/>
    <w:rsid w:val="00915510"/>
    <w:rsid w:val="0091760E"/>
    <w:rsid w:val="009207B7"/>
    <w:rsid w:val="00922C4C"/>
    <w:rsid w:val="0092344D"/>
    <w:rsid w:val="00924682"/>
    <w:rsid w:val="00925F95"/>
    <w:rsid w:val="00932FE5"/>
    <w:rsid w:val="00934826"/>
    <w:rsid w:val="009348F1"/>
    <w:rsid w:val="00934B18"/>
    <w:rsid w:val="00935D96"/>
    <w:rsid w:val="0093752C"/>
    <w:rsid w:val="00937988"/>
    <w:rsid w:val="00937C08"/>
    <w:rsid w:val="00937E03"/>
    <w:rsid w:val="00941984"/>
    <w:rsid w:val="00941A5A"/>
    <w:rsid w:val="0094201C"/>
    <w:rsid w:val="0094290F"/>
    <w:rsid w:val="00943283"/>
    <w:rsid w:val="009456AD"/>
    <w:rsid w:val="00946207"/>
    <w:rsid w:val="00952164"/>
    <w:rsid w:val="00952DA8"/>
    <w:rsid w:val="00954543"/>
    <w:rsid w:val="00954C83"/>
    <w:rsid w:val="00955028"/>
    <w:rsid w:val="00955E3E"/>
    <w:rsid w:val="009562DC"/>
    <w:rsid w:val="0096041A"/>
    <w:rsid w:val="00960A57"/>
    <w:rsid w:val="0096212C"/>
    <w:rsid w:val="009625F3"/>
    <w:rsid w:val="009647F9"/>
    <w:rsid w:val="0097138B"/>
    <w:rsid w:val="00972FD5"/>
    <w:rsid w:val="00973864"/>
    <w:rsid w:val="00973A98"/>
    <w:rsid w:val="00973F1D"/>
    <w:rsid w:val="00973F9B"/>
    <w:rsid w:val="00974105"/>
    <w:rsid w:val="00974461"/>
    <w:rsid w:val="00974901"/>
    <w:rsid w:val="0097551D"/>
    <w:rsid w:val="00975673"/>
    <w:rsid w:val="009759C7"/>
    <w:rsid w:val="00976E68"/>
    <w:rsid w:val="00980D02"/>
    <w:rsid w:val="00980D79"/>
    <w:rsid w:val="009834EB"/>
    <w:rsid w:val="009835D5"/>
    <w:rsid w:val="00983952"/>
    <w:rsid w:val="00983E27"/>
    <w:rsid w:val="0098468E"/>
    <w:rsid w:val="00986613"/>
    <w:rsid w:val="009870DF"/>
    <w:rsid w:val="00987CD4"/>
    <w:rsid w:val="009905EA"/>
    <w:rsid w:val="0099342B"/>
    <w:rsid w:val="00993D59"/>
    <w:rsid w:val="0099508E"/>
    <w:rsid w:val="00996C94"/>
    <w:rsid w:val="0099718E"/>
    <w:rsid w:val="00997535"/>
    <w:rsid w:val="009A0CC3"/>
    <w:rsid w:val="009A2A62"/>
    <w:rsid w:val="009A35B2"/>
    <w:rsid w:val="009A401A"/>
    <w:rsid w:val="009A4CFF"/>
    <w:rsid w:val="009A5059"/>
    <w:rsid w:val="009A704C"/>
    <w:rsid w:val="009A75B8"/>
    <w:rsid w:val="009B0CA9"/>
    <w:rsid w:val="009B1A0B"/>
    <w:rsid w:val="009B20B0"/>
    <w:rsid w:val="009B2FA3"/>
    <w:rsid w:val="009B5CB5"/>
    <w:rsid w:val="009B75D7"/>
    <w:rsid w:val="009C22A9"/>
    <w:rsid w:val="009C3641"/>
    <w:rsid w:val="009C4B3D"/>
    <w:rsid w:val="009C509A"/>
    <w:rsid w:val="009C603C"/>
    <w:rsid w:val="009C6F56"/>
    <w:rsid w:val="009C7424"/>
    <w:rsid w:val="009D3F5C"/>
    <w:rsid w:val="009D6E1A"/>
    <w:rsid w:val="009E3E55"/>
    <w:rsid w:val="009E79C0"/>
    <w:rsid w:val="009F0F39"/>
    <w:rsid w:val="009F238D"/>
    <w:rsid w:val="009F28CD"/>
    <w:rsid w:val="009F3B14"/>
    <w:rsid w:val="009F545A"/>
    <w:rsid w:val="009F5E8D"/>
    <w:rsid w:val="009F6B89"/>
    <w:rsid w:val="009F7D7A"/>
    <w:rsid w:val="00A001F5"/>
    <w:rsid w:val="00A01A27"/>
    <w:rsid w:val="00A02050"/>
    <w:rsid w:val="00A041DB"/>
    <w:rsid w:val="00A04823"/>
    <w:rsid w:val="00A064EE"/>
    <w:rsid w:val="00A11ABF"/>
    <w:rsid w:val="00A12AC4"/>
    <w:rsid w:val="00A134D2"/>
    <w:rsid w:val="00A1498B"/>
    <w:rsid w:val="00A14EEC"/>
    <w:rsid w:val="00A16462"/>
    <w:rsid w:val="00A17820"/>
    <w:rsid w:val="00A21A44"/>
    <w:rsid w:val="00A22B95"/>
    <w:rsid w:val="00A25807"/>
    <w:rsid w:val="00A25AE2"/>
    <w:rsid w:val="00A26BDF"/>
    <w:rsid w:val="00A26E05"/>
    <w:rsid w:val="00A31EC1"/>
    <w:rsid w:val="00A320AA"/>
    <w:rsid w:val="00A32868"/>
    <w:rsid w:val="00A32D69"/>
    <w:rsid w:val="00A339A9"/>
    <w:rsid w:val="00A34409"/>
    <w:rsid w:val="00A412EF"/>
    <w:rsid w:val="00A413E7"/>
    <w:rsid w:val="00A41C11"/>
    <w:rsid w:val="00A4289B"/>
    <w:rsid w:val="00A43227"/>
    <w:rsid w:val="00A44B5C"/>
    <w:rsid w:val="00A451A0"/>
    <w:rsid w:val="00A453B8"/>
    <w:rsid w:val="00A454CC"/>
    <w:rsid w:val="00A4552F"/>
    <w:rsid w:val="00A456F3"/>
    <w:rsid w:val="00A45A8A"/>
    <w:rsid w:val="00A51175"/>
    <w:rsid w:val="00A511C3"/>
    <w:rsid w:val="00A5226B"/>
    <w:rsid w:val="00A53CC0"/>
    <w:rsid w:val="00A53E52"/>
    <w:rsid w:val="00A54BA6"/>
    <w:rsid w:val="00A550BB"/>
    <w:rsid w:val="00A56AEB"/>
    <w:rsid w:val="00A61A4F"/>
    <w:rsid w:val="00A61FE8"/>
    <w:rsid w:val="00A63BE8"/>
    <w:rsid w:val="00A64163"/>
    <w:rsid w:val="00A65D9F"/>
    <w:rsid w:val="00A705D1"/>
    <w:rsid w:val="00A738E2"/>
    <w:rsid w:val="00A7457D"/>
    <w:rsid w:val="00A7630B"/>
    <w:rsid w:val="00A77534"/>
    <w:rsid w:val="00A80499"/>
    <w:rsid w:val="00A80FE7"/>
    <w:rsid w:val="00A8232B"/>
    <w:rsid w:val="00A83AB2"/>
    <w:rsid w:val="00A83DA1"/>
    <w:rsid w:val="00A85641"/>
    <w:rsid w:val="00A866EC"/>
    <w:rsid w:val="00A86F18"/>
    <w:rsid w:val="00A90313"/>
    <w:rsid w:val="00A905C2"/>
    <w:rsid w:val="00A915C7"/>
    <w:rsid w:val="00A915E3"/>
    <w:rsid w:val="00A91B7E"/>
    <w:rsid w:val="00A934FD"/>
    <w:rsid w:val="00A93926"/>
    <w:rsid w:val="00A93975"/>
    <w:rsid w:val="00A94EAC"/>
    <w:rsid w:val="00A967E0"/>
    <w:rsid w:val="00AA0107"/>
    <w:rsid w:val="00AA017B"/>
    <w:rsid w:val="00AA02C6"/>
    <w:rsid w:val="00AA4FDF"/>
    <w:rsid w:val="00AA5E22"/>
    <w:rsid w:val="00AB06B1"/>
    <w:rsid w:val="00AB204E"/>
    <w:rsid w:val="00AB278F"/>
    <w:rsid w:val="00AB3F20"/>
    <w:rsid w:val="00AB4877"/>
    <w:rsid w:val="00AB53A6"/>
    <w:rsid w:val="00AB6894"/>
    <w:rsid w:val="00AB6E62"/>
    <w:rsid w:val="00AB7816"/>
    <w:rsid w:val="00AB7927"/>
    <w:rsid w:val="00AC0A96"/>
    <w:rsid w:val="00AC1D50"/>
    <w:rsid w:val="00AC2EA0"/>
    <w:rsid w:val="00AC33F2"/>
    <w:rsid w:val="00AC353C"/>
    <w:rsid w:val="00AC49CD"/>
    <w:rsid w:val="00AC689A"/>
    <w:rsid w:val="00AD06DE"/>
    <w:rsid w:val="00AD096B"/>
    <w:rsid w:val="00AD0FFC"/>
    <w:rsid w:val="00AD1E88"/>
    <w:rsid w:val="00AD5D36"/>
    <w:rsid w:val="00AD6408"/>
    <w:rsid w:val="00AD7BEF"/>
    <w:rsid w:val="00AE1941"/>
    <w:rsid w:val="00AE29DA"/>
    <w:rsid w:val="00AE4E9D"/>
    <w:rsid w:val="00AE616C"/>
    <w:rsid w:val="00AE6867"/>
    <w:rsid w:val="00AE6C08"/>
    <w:rsid w:val="00AF0FD2"/>
    <w:rsid w:val="00AF32A0"/>
    <w:rsid w:val="00AF3CF0"/>
    <w:rsid w:val="00AF4DDB"/>
    <w:rsid w:val="00AF65BE"/>
    <w:rsid w:val="00B02352"/>
    <w:rsid w:val="00B04D0F"/>
    <w:rsid w:val="00B04F63"/>
    <w:rsid w:val="00B055E9"/>
    <w:rsid w:val="00B06124"/>
    <w:rsid w:val="00B067FB"/>
    <w:rsid w:val="00B14450"/>
    <w:rsid w:val="00B163DF"/>
    <w:rsid w:val="00B16CD2"/>
    <w:rsid w:val="00B178EE"/>
    <w:rsid w:val="00B21F4F"/>
    <w:rsid w:val="00B226D2"/>
    <w:rsid w:val="00B2438A"/>
    <w:rsid w:val="00B24D86"/>
    <w:rsid w:val="00B255FA"/>
    <w:rsid w:val="00B26366"/>
    <w:rsid w:val="00B27A24"/>
    <w:rsid w:val="00B31616"/>
    <w:rsid w:val="00B33120"/>
    <w:rsid w:val="00B33568"/>
    <w:rsid w:val="00B33C03"/>
    <w:rsid w:val="00B346BF"/>
    <w:rsid w:val="00B4095F"/>
    <w:rsid w:val="00B4139C"/>
    <w:rsid w:val="00B4157F"/>
    <w:rsid w:val="00B43CCE"/>
    <w:rsid w:val="00B4408E"/>
    <w:rsid w:val="00B44BCB"/>
    <w:rsid w:val="00B45ECB"/>
    <w:rsid w:val="00B46122"/>
    <w:rsid w:val="00B4676D"/>
    <w:rsid w:val="00B474B9"/>
    <w:rsid w:val="00B47F85"/>
    <w:rsid w:val="00B5146F"/>
    <w:rsid w:val="00B51CCA"/>
    <w:rsid w:val="00B54B9A"/>
    <w:rsid w:val="00B564E5"/>
    <w:rsid w:val="00B569C0"/>
    <w:rsid w:val="00B60038"/>
    <w:rsid w:val="00B6131E"/>
    <w:rsid w:val="00B617BE"/>
    <w:rsid w:val="00B62316"/>
    <w:rsid w:val="00B6365E"/>
    <w:rsid w:val="00B636F1"/>
    <w:rsid w:val="00B65368"/>
    <w:rsid w:val="00B658D6"/>
    <w:rsid w:val="00B72914"/>
    <w:rsid w:val="00B73A4F"/>
    <w:rsid w:val="00B750FE"/>
    <w:rsid w:val="00B76C89"/>
    <w:rsid w:val="00B77CBD"/>
    <w:rsid w:val="00B812A0"/>
    <w:rsid w:val="00B81605"/>
    <w:rsid w:val="00B81B28"/>
    <w:rsid w:val="00B828FB"/>
    <w:rsid w:val="00B83F74"/>
    <w:rsid w:val="00B855DD"/>
    <w:rsid w:val="00B85DBB"/>
    <w:rsid w:val="00B86331"/>
    <w:rsid w:val="00B9013F"/>
    <w:rsid w:val="00B909E4"/>
    <w:rsid w:val="00B934B8"/>
    <w:rsid w:val="00B93A72"/>
    <w:rsid w:val="00B94269"/>
    <w:rsid w:val="00B94CDE"/>
    <w:rsid w:val="00BA057B"/>
    <w:rsid w:val="00BA2B32"/>
    <w:rsid w:val="00BA43B4"/>
    <w:rsid w:val="00BA4632"/>
    <w:rsid w:val="00BA70D9"/>
    <w:rsid w:val="00BB1B5A"/>
    <w:rsid w:val="00BB1BC0"/>
    <w:rsid w:val="00BB2546"/>
    <w:rsid w:val="00BB3B21"/>
    <w:rsid w:val="00BB6576"/>
    <w:rsid w:val="00BB7BA4"/>
    <w:rsid w:val="00BC2322"/>
    <w:rsid w:val="00BD117A"/>
    <w:rsid w:val="00BD60F3"/>
    <w:rsid w:val="00BD755D"/>
    <w:rsid w:val="00BD7D16"/>
    <w:rsid w:val="00BE02E0"/>
    <w:rsid w:val="00BE22C3"/>
    <w:rsid w:val="00BE26BF"/>
    <w:rsid w:val="00BE2D7B"/>
    <w:rsid w:val="00BE3D1F"/>
    <w:rsid w:val="00BE74A5"/>
    <w:rsid w:val="00BF4104"/>
    <w:rsid w:val="00BF4B0D"/>
    <w:rsid w:val="00BF4CBE"/>
    <w:rsid w:val="00BF6127"/>
    <w:rsid w:val="00BF7A51"/>
    <w:rsid w:val="00C0067A"/>
    <w:rsid w:val="00C02669"/>
    <w:rsid w:val="00C04B2E"/>
    <w:rsid w:val="00C05504"/>
    <w:rsid w:val="00C06B56"/>
    <w:rsid w:val="00C1151F"/>
    <w:rsid w:val="00C15AFF"/>
    <w:rsid w:val="00C15FBC"/>
    <w:rsid w:val="00C16DFE"/>
    <w:rsid w:val="00C204D1"/>
    <w:rsid w:val="00C22A0A"/>
    <w:rsid w:val="00C22C80"/>
    <w:rsid w:val="00C23B68"/>
    <w:rsid w:val="00C23C69"/>
    <w:rsid w:val="00C24FCF"/>
    <w:rsid w:val="00C253CF"/>
    <w:rsid w:val="00C27FDD"/>
    <w:rsid w:val="00C322D7"/>
    <w:rsid w:val="00C3406E"/>
    <w:rsid w:val="00C347F2"/>
    <w:rsid w:val="00C35677"/>
    <w:rsid w:val="00C36EAD"/>
    <w:rsid w:val="00C37614"/>
    <w:rsid w:val="00C4169E"/>
    <w:rsid w:val="00C41982"/>
    <w:rsid w:val="00C450BA"/>
    <w:rsid w:val="00C45701"/>
    <w:rsid w:val="00C46691"/>
    <w:rsid w:val="00C608E9"/>
    <w:rsid w:val="00C60EC3"/>
    <w:rsid w:val="00C62135"/>
    <w:rsid w:val="00C62C5D"/>
    <w:rsid w:val="00C6489A"/>
    <w:rsid w:val="00C672C4"/>
    <w:rsid w:val="00C70241"/>
    <w:rsid w:val="00C74612"/>
    <w:rsid w:val="00C74BF0"/>
    <w:rsid w:val="00C767A7"/>
    <w:rsid w:val="00C811DE"/>
    <w:rsid w:val="00C814D8"/>
    <w:rsid w:val="00C815E3"/>
    <w:rsid w:val="00C86669"/>
    <w:rsid w:val="00C86D60"/>
    <w:rsid w:val="00C91B57"/>
    <w:rsid w:val="00C91C6C"/>
    <w:rsid w:val="00C91DE2"/>
    <w:rsid w:val="00C92AB1"/>
    <w:rsid w:val="00C92DE7"/>
    <w:rsid w:val="00C960F8"/>
    <w:rsid w:val="00C96591"/>
    <w:rsid w:val="00CA3DB0"/>
    <w:rsid w:val="00CA487B"/>
    <w:rsid w:val="00CA6522"/>
    <w:rsid w:val="00CA7B6E"/>
    <w:rsid w:val="00CB253B"/>
    <w:rsid w:val="00CB3324"/>
    <w:rsid w:val="00CB3C95"/>
    <w:rsid w:val="00CB4757"/>
    <w:rsid w:val="00CB4844"/>
    <w:rsid w:val="00CB5612"/>
    <w:rsid w:val="00CB7C36"/>
    <w:rsid w:val="00CC0536"/>
    <w:rsid w:val="00CC0A18"/>
    <w:rsid w:val="00CC0A42"/>
    <w:rsid w:val="00CC2331"/>
    <w:rsid w:val="00CC2CF4"/>
    <w:rsid w:val="00CC2F37"/>
    <w:rsid w:val="00CC565E"/>
    <w:rsid w:val="00CC5784"/>
    <w:rsid w:val="00CC586B"/>
    <w:rsid w:val="00CC5ED3"/>
    <w:rsid w:val="00CC62EF"/>
    <w:rsid w:val="00CC6E49"/>
    <w:rsid w:val="00CC7063"/>
    <w:rsid w:val="00CD2DB1"/>
    <w:rsid w:val="00CD437E"/>
    <w:rsid w:val="00CD6C44"/>
    <w:rsid w:val="00CD7073"/>
    <w:rsid w:val="00CD73A2"/>
    <w:rsid w:val="00CD7B05"/>
    <w:rsid w:val="00CE026F"/>
    <w:rsid w:val="00CE0647"/>
    <w:rsid w:val="00CE1F7D"/>
    <w:rsid w:val="00CE48B5"/>
    <w:rsid w:val="00CE7223"/>
    <w:rsid w:val="00CE7DBE"/>
    <w:rsid w:val="00CF0A9E"/>
    <w:rsid w:val="00CF0B6F"/>
    <w:rsid w:val="00CF2C41"/>
    <w:rsid w:val="00CF2D10"/>
    <w:rsid w:val="00CF32D8"/>
    <w:rsid w:val="00CF3571"/>
    <w:rsid w:val="00CF73D8"/>
    <w:rsid w:val="00CF7AF1"/>
    <w:rsid w:val="00CF7D58"/>
    <w:rsid w:val="00D00888"/>
    <w:rsid w:val="00D0203E"/>
    <w:rsid w:val="00D021C6"/>
    <w:rsid w:val="00D035F9"/>
    <w:rsid w:val="00D05727"/>
    <w:rsid w:val="00D071B6"/>
    <w:rsid w:val="00D07FA7"/>
    <w:rsid w:val="00D111A0"/>
    <w:rsid w:val="00D11E3B"/>
    <w:rsid w:val="00D12047"/>
    <w:rsid w:val="00D12DE3"/>
    <w:rsid w:val="00D147BC"/>
    <w:rsid w:val="00D17FB4"/>
    <w:rsid w:val="00D225BA"/>
    <w:rsid w:val="00D23CD2"/>
    <w:rsid w:val="00D3089E"/>
    <w:rsid w:val="00D331A6"/>
    <w:rsid w:val="00D35027"/>
    <w:rsid w:val="00D354CB"/>
    <w:rsid w:val="00D36AF7"/>
    <w:rsid w:val="00D37175"/>
    <w:rsid w:val="00D407BC"/>
    <w:rsid w:val="00D41F18"/>
    <w:rsid w:val="00D4255D"/>
    <w:rsid w:val="00D42BD9"/>
    <w:rsid w:val="00D43003"/>
    <w:rsid w:val="00D446AB"/>
    <w:rsid w:val="00D44F23"/>
    <w:rsid w:val="00D467BA"/>
    <w:rsid w:val="00D47A27"/>
    <w:rsid w:val="00D51E19"/>
    <w:rsid w:val="00D54654"/>
    <w:rsid w:val="00D552DD"/>
    <w:rsid w:val="00D55312"/>
    <w:rsid w:val="00D562E4"/>
    <w:rsid w:val="00D5651B"/>
    <w:rsid w:val="00D571F4"/>
    <w:rsid w:val="00D61EA2"/>
    <w:rsid w:val="00D62554"/>
    <w:rsid w:val="00D62D75"/>
    <w:rsid w:val="00D636DC"/>
    <w:rsid w:val="00D6376D"/>
    <w:rsid w:val="00D64949"/>
    <w:rsid w:val="00D6741E"/>
    <w:rsid w:val="00D67D0F"/>
    <w:rsid w:val="00D7140D"/>
    <w:rsid w:val="00D71A9C"/>
    <w:rsid w:val="00D723BF"/>
    <w:rsid w:val="00D72BA4"/>
    <w:rsid w:val="00D73C68"/>
    <w:rsid w:val="00D74426"/>
    <w:rsid w:val="00D751D6"/>
    <w:rsid w:val="00D76D95"/>
    <w:rsid w:val="00D80B6D"/>
    <w:rsid w:val="00D810E6"/>
    <w:rsid w:val="00D8167E"/>
    <w:rsid w:val="00D81E14"/>
    <w:rsid w:val="00D9121F"/>
    <w:rsid w:val="00D95EB5"/>
    <w:rsid w:val="00D96292"/>
    <w:rsid w:val="00D97B10"/>
    <w:rsid w:val="00DA0599"/>
    <w:rsid w:val="00DA0FB4"/>
    <w:rsid w:val="00DA1E18"/>
    <w:rsid w:val="00DA5372"/>
    <w:rsid w:val="00DA5A14"/>
    <w:rsid w:val="00DA620F"/>
    <w:rsid w:val="00DB16AC"/>
    <w:rsid w:val="00DB1F94"/>
    <w:rsid w:val="00DB51BE"/>
    <w:rsid w:val="00DB5320"/>
    <w:rsid w:val="00DB6A43"/>
    <w:rsid w:val="00DC0858"/>
    <w:rsid w:val="00DC1152"/>
    <w:rsid w:val="00DC1EE8"/>
    <w:rsid w:val="00DC3AF7"/>
    <w:rsid w:val="00DC3F2A"/>
    <w:rsid w:val="00DC45CE"/>
    <w:rsid w:val="00DC5804"/>
    <w:rsid w:val="00DD0673"/>
    <w:rsid w:val="00DD0F13"/>
    <w:rsid w:val="00DD14D1"/>
    <w:rsid w:val="00DD2176"/>
    <w:rsid w:val="00DD2C05"/>
    <w:rsid w:val="00DD49B2"/>
    <w:rsid w:val="00DD4AEE"/>
    <w:rsid w:val="00DD5713"/>
    <w:rsid w:val="00DE4C46"/>
    <w:rsid w:val="00DE7340"/>
    <w:rsid w:val="00DF0F64"/>
    <w:rsid w:val="00DF31C0"/>
    <w:rsid w:val="00DF328E"/>
    <w:rsid w:val="00DF43DC"/>
    <w:rsid w:val="00DF6C1E"/>
    <w:rsid w:val="00E03215"/>
    <w:rsid w:val="00E049E2"/>
    <w:rsid w:val="00E06AA0"/>
    <w:rsid w:val="00E07A9A"/>
    <w:rsid w:val="00E07BED"/>
    <w:rsid w:val="00E10637"/>
    <w:rsid w:val="00E108D1"/>
    <w:rsid w:val="00E10A68"/>
    <w:rsid w:val="00E11A5C"/>
    <w:rsid w:val="00E11D8F"/>
    <w:rsid w:val="00E11E55"/>
    <w:rsid w:val="00E120DB"/>
    <w:rsid w:val="00E14143"/>
    <w:rsid w:val="00E1713D"/>
    <w:rsid w:val="00E177BA"/>
    <w:rsid w:val="00E20320"/>
    <w:rsid w:val="00E20451"/>
    <w:rsid w:val="00E20CC0"/>
    <w:rsid w:val="00E20EAA"/>
    <w:rsid w:val="00E21D32"/>
    <w:rsid w:val="00E22411"/>
    <w:rsid w:val="00E2266D"/>
    <w:rsid w:val="00E228D7"/>
    <w:rsid w:val="00E24781"/>
    <w:rsid w:val="00E2633D"/>
    <w:rsid w:val="00E2710F"/>
    <w:rsid w:val="00E31132"/>
    <w:rsid w:val="00E33173"/>
    <w:rsid w:val="00E33C7F"/>
    <w:rsid w:val="00E34685"/>
    <w:rsid w:val="00E377E0"/>
    <w:rsid w:val="00E37856"/>
    <w:rsid w:val="00E379C6"/>
    <w:rsid w:val="00E37E59"/>
    <w:rsid w:val="00E40837"/>
    <w:rsid w:val="00E42004"/>
    <w:rsid w:val="00E43AD2"/>
    <w:rsid w:val="00E45C44"/>
    <w:rsid w:val="00E46227"/>
    <w:rsid w:val="00E527C8"/>
    <w:rsid w:val="00E52E57"/>
    <w:rsid w:val="00E5451C"/>
    <w:rsid w:val="00E54970"/>
    <w:rsid w:val="00E54EB9"/>
    <w:rsid w:val="00E555FC"/>
    <w:rsid w:val="00E55919"/>
    <w:rsid w:val="00E5686E"/>
    <w:rsid w:val="00E57774"/>
    <w:rsid w:val="00E57A51"/>
    <w:rsid w:val="00E57F36"/>
    <w:rsid w:val="00E60845"/>
    <w:rsid w:val="00E623BA"/>
    <w:rsid w:val="00E6387D"/>
    <w:rsid w:val="00E65EFE"/>
    <w:rsid w:val="00E662A8"/>
    <w:rsid w:val="00E6746A"/>
    <w:rsid w:val="00E7308F"/>
    <w:rsid w:val="00E736B8"/>
    <w:rsid w:val="00E73DB6"/>
    <w:rsid w:val="00E767F2"/>
    <w:rsid w:val="00E81DA6"/>
    <w:rsid w:val="00E82844"/>
    <w:rsid w:val="00E86BA5"/>
    <w:rsid w:val="00E90375"/>
    <w:rsid w:val="00E90DD9"/>
    <w:rsid w:val="00E912F8"/>
    <w:rsid w:val="00E95888"/>
    <w:rsid w:val="00E9680B"/>
    <w:rsid w:val="00E96C38"/>
    <w:rsid w:val="00E975B8"/>
    <w:rsid w:val="00EA26AF"/>
    <w:rsid w:val="00EA2E29"/>
    <w:rsid w:val="00EA3094"/>
    <w:rsid w:val="00EA39DC"/>
    <w:rsid w:val="00EA4637"/>
    <w:rsid w:val="00EA5B15"/>
    <w:rsid w:val="00EA7A14"/>
    <w:rsid w:val="00EB0D28"/>
    <w:rsid w:val="00EB0F21"/>
    <w:rsid w:val="00EB1A2B"/>
    <w:rsid w:val="00EB3D9B"/>
    <w:rsid w:val="00EB4833"/>
    <w:rsid w:val="00EB6EBE"/>
    <w:rsid w:val="00EB7011"/>
    <w:rsid w:val="00EB74E4"/>
    <w:rsid w:val="00EB7E1E"/>
    <w:rsid w:val="00EC03E7"/>
    <w:rsid w:val="00EC0BB4"/>
    <w:rsid w:val="00EC34F7"/>
    <w:rsid w:val="00EC3C4C"/>
    <w:rsid w:val="00ED027A"/>
    <w:rsid w:val="00ED0320"/>
    <w:rsid w:val="00ED21C4"/>
    <w:rsid w:val="00ED3236"/>
    <w:rsid w:val="00ED3D47"/>
    <w:rsid w:val="00ED401E"/>
    <w:rsid w:val="00ED4C03"/>
    <w:rsid w:val="00ED5211"/>
    <w:rsid w:val="00ED5980"/>
    <w:rsid w:val="00ED5C8B"/>
    <w:rsid w:val="00ED5E3A"/>
    <w:rsid w:val="00ED66F0"/>
    <w:rsid w:val="00EE11F8"/>
    <w:rsid w:val="00EE16E1"/>
    <w:rsid w:val="00EE1E25"/>
    <w:rsid w:val="00EE2FDF"/>
    <w:rsid w:val="00EE3598"/>
    <w:rsid w:val="00EE3660"/>
    <w:rsid w:val="00EE4DD3"/>
    <w:rsid w:val="00EE53AB"/>
    <w:rsid w:val="00EE6D4F"/>
    <w:rsid w:val="00EE70D7"/>
    <w:rsid w:val="00EF1F6E"/>
    <w:rsid w:val="00EF1F9E"/>
    <w:rsid w:val="00EF50DA"/>
    <w:rsid w:val="00EF74B9"/>
    <w:rsid w:val="00F00C3D"/>
    <w:rsid w:val="00F0161A"/>
    <w:rsid w:val="00F01CDE"/>
    <w:rsid w:val="00F038ED"/>
    <w:rsid w:val="00F03C37"/>
    <w:rsid w:val="00F04C4A"/>
    <w:rsid w:val="00F10EEF"/>
    <w:rsid w:val="00F115F6"/>
    <w:rsid w:val="00F1244A"/>
    <w:rsid w:val="00F12463"/>
    <w:rsid w:val="00F13D84"/>
    <w:rsid w:val="00F16D52"/>
    <w:rsid w:val="00F17F82"/>
    <w:rsid w:val="00F206EF"/>
    <w:rsid w:val="00F218B5"/>
    <w:rsid w:val="00F23213"/>
    <w:rsid w:val="00F23856"/>
    <w:rsid w:val="00F24F25"/>
    <w:rsid w:val="00F250AB"/>
    <w:rsid w:val="00F25B78"/>
    <w:rsid w:val="00F2707E"/>
    <w:rsid w:val="00F270FB"/>
    <w:rsid w:val="00F2763C"/>
    <w:rsid w:val="00F2767A"/>
    <w:rsid w:val="00F308A7"/>
    <w:rsid w:val="00F3210A"/>
    <w:rsid w:val="00F333C2"/>
    <w:rsid w:val="00F35CD0"/>
    <w:rsid w:val="00F41312"/>
    <w:rsid w:val="00F414FA"/>
    <w:rsid w:val="00F43A1C"/>
    <w:rsid w:val="00F43CE8"/>
    <w:rsid w:val="00F460BF"/>
    <w:rsid w:val="00F5094B"/>
    <w:rsid w:val="00F50CD7"/>
    <w:rsid w:val="00F54484"/>
    <w:rsid w:val="00F55F28"/>
    <w:rsid w:val="00F55F3E"/>
    <w:rsid w:val="00F57F9C"/>
    <w:rsid w:val="00F6423D"/>
    <w:rsid w:val="00F64780"/>
    <w:rsid w:val="00F65BB8"/>
    <w:rsid w:val="00F66886"/>
    <w:rsid w:val="00F67B9C"/>
    <w:rsid w:val="00F724CF"/>
    <w:rsid w:val="00F73EC5"/>
    <w:rsid w:val="00F75B06"/>
    <w:rsid w:val="00F77C39"/>
    <w:rsid w:val="00F80BE9"/>
    <w:rsid w:val="00F8139F"/>
    <w:rsid w:val="00F83D6B"/>
    <w:rsid w:val="00F86BE6"/>
    <w:rsid w:val="00F91E3C"/>
    <w:rsid w:val="00F92753"/>
    <w:rsid w:val="00F92CF0"/>
    <w:rsid w:val="00F93B7A"/>
    <w:rsid w:val="00F946EA"/>
    <w:rsid w:val="00F9497F"/>
    <w:rsid w:val="00F95C61"/>
    <w:rsid w:val="00F96099"/>
    <w:rsid w:val="00F960D9"/>
    <w:rsid w:val="00F96308"/>
    <w:rsid w:val="00F97D95"/>
    <w:rsid w:val="00FA0016"/>
    <w:rsid w:val="00FA0739"/>
    <w:rsid w:val="00FA11FA"/>
    <w:rsid w:val="00FA17C4"/>
    <w:rsid w:val="00FA234B"/>
    <w:rsid w:val="00FA2724"/>
    <w:rsid w:val="00FA2EF7"/>
    <w:rsid w:val="00FA3987"/>
    <w:rsid w:val="00FA4077"/>
    <w:rsid w:val="00FA42B9"/>
    <w:rsid w:val="00FA5847"/>
    <w:rsid w:val="00FA5CD2"/>
    <w:rsid w:val="00FB1B23"/>
    <w:rsid w:val="00FB2632"/>
    <w:rsid w:val="00FB2855"/>
    <w:rsid w:val="00FB2D5C"/>
    <w:rsid w:val="00FB31AC"/>
    <w:rsid w:val="00FB3852"/>
    <w:rsid w:val="00FB43EC"/>
    <w:rsid w:val="00FB4628"/>
    <w:rsid w:val="00FB51A9"/>
    <w:rsid w:val="00FB6063"/>
    <w:rsid w:val="00FB7A29"/>
    <w:rsid w:val="00FB7ADA"/>
    <w:rsid w:val="00FB7AF4"/>
    <w:rsid w:val="00FC3C6C"/>
    <w:rsid w:val="00FC3D14"/>
    <w:rsid w:val="00FC5C90"/>
    <w:rsid w:val="00FC606E"/>
    <w:rsid w:val="00FC6C22"/>
    <w:rsid w:val="00FC6FA5"/>
    <w:rsid w:val="00FC72D9"/>
    <w:rsid w:val="00FD0101"/>
    <w:rsid w:val="00FD0719"/>
    <w:rsid w:val="00FD19D8"/>
    <w:rsid w:val="00FD2214"/>
    <w:rsid w:val="00FD3C52"/>
    <w:rsid w:val="00FD547B"/>
    <w:rsid w:val="00FD7BC7"/>
    <w:rsid w:val="00FE0433"/>
    <w:rsid w:val="00FE0B41"/>
    <w:rsid w:val="00FE0F61"/>
    <w:rsid w:val="00FE2E6F"/>
    <w:rsid w:val="00FE5E0A"/>
    <w:rsid w:val="00FF1FFD"/>
    <w:rsid w:val="00FF2078"/>
    <w:rsid w:val="00FF2259"/>
    <w:rsid w:val="00FF336E"/>
    <w:rsid w:val="00FF3EFD"/>
    <w:rsid w:val="00FF43EB"/>
    <w:rsid w:val="00FF47DB"/>
    <w:rsid w:val="00FF66D1"/>
    <w:rsid w:val="00FF678F"/>
    <w:rsid w:val="00FF6C63"/>
    <w:rsid w:val="00FF6EA7"/>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2D5C"/>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53A6"/>
    <w:rPr>
      <w:rFonts w:ascii="Tahoma" w:hAnsi="Tahoma" w:cs="Tahoma"/>
      <w:sz w:val="16"/>
      <w:szCs w:val="16"/>
    </w:rPr>
  </w:style>
  <w:style w:type="paragraph" w:styleId="Header">
    <w:name w:val="header"/>
    <w:basedOn w:val="Normal"/>
    <w:link w:val="HeaderChar"/>
    <w:uiPriority w:val="99"/>
    <w:rsid w:val="00B828FB"/>
    <w:pPr>
      <w:tabs>
        <w:tab w:val="center" w:pos="4320"/>
        <w:tab w:val="right" w:pos="8640"/>
      </w:tabs>
    </w:pPr>
    <w:rPr>
      <w:lang w:val="x-none" w:eastAsia="x-none"/>
    </w:rPr>
  </w:style>
  <w:style w:type="paragraph" w:styleId="Footer">
    <w:name w:val="footer"/>
    <w:basedOn w:val="Normal"/>
    <w:link w:val="FooterChar"/>
    <w:uiPriority w:val="99"/>
    <w:rsid w:val="00B828FB"/>
    <w:pPr>
      <w:tabs>
        <w:tab w:val="center" w:pos="4320"/>
        <w:tab w:val="right" w:pos="8640"/>
      </w:tabs>
    </w:pPr>
    <w:rPr>
      <w:lang w:val="x-none" w:eastAsia="x-none"/>
    </w:rPr>
  </w:style>
  <w:style w:type="table" w:styleId="TableGrid">
    <w:name w:val="Table Grid"/>
    <w:basedOn w:val="TableNormal"/>
    <w:rsid w:val="00C22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76373C"/>
    <w:rPr>
      <w:sz w:val="24"/>
      <w:szCs w:val="24"/>
    </w:rPr>
  </w:style>
  <w:style w:type="character" w:customStyle="1" w:styleId="FooterChar">
    <w:name w:val="Footer Char"/>
    <w:link w:val="Footer"/>
    <w:uiPriority w:val="99"/>
    <w:rsid w:val="00F92753"/>
    <w:rPr>
      <w:sz w:val="24"/>
      <w:szCs w:val="24"/>
    </w:rPr>
  </w:style>
  <w:style w:type="character" w:styleId="CommentReference">
    <w:name w:val="annotation reference"/>
    <w:rsid w:val="001F21A3"/>
    <w:rPr>
      <w:sz w:val="16"/>
      <w:szCs w:val="16"/>
    </w:rPr>
  </w:style>
  <w:style w:type="paragraph" w:styleId="CommentText">
    <w:name w:val="annotation text"/>
    <w:basedOn w:val="Normal"/>
    <w:link w:val="CommentTextChar"/>
    <w:rsid w:val="001F21A3"/>
    <w:rPr>
      <w:sz w:val="20"/>
      <w:szCs w:val="20"/>
    </w:rPr>
  </w:style>
  <w:style w:type="character" w:customStyle="1" w:styleId="CommentTextChar">
    <w:name w:val="Comment Text Char"/>
    <w:basedOn w:val="DefaultParagraphFont"/>
    <w:link w:val="CommentText"/>
    <w:rsid w:val="001F21A3"/>
  </w:style>
  <w:style w:type="paragraph" w:styleId="CommentSubject">
    <w:name w:val="annotation subject"/>
    <w:basedOn w:val="CommentText"/>
    <w:next w:val="CommentText"/>
    <w:link w:val="CommentSubjectChar"/>
    <w:rsid w:val="001F21A3"/>
    <w:rPr>
      <w:b/>
      <w:bCs/>
      <w:lang w:val="x-none" w:eastAsia="x-none"/>
    </w:rPr>
  </w:style>
  <w:style w:type="character" w:customStyle="1" w:styleId="CommentSubjectChar">
    <w:name w:val="Comment Subject Char"/>
    <w:link w:val="CommentSubject"/>
    <w:rsid w:val="001F21A3"/>
    <w:rPr>
      <w:b/>
      <w:bCs/>
    </w:rPr>
  </w:style>
  <w:style w:type="paragraph" w:styleId="EndnoteText">
    <w:name w:val="endnote text"/>
    <w:basedOn w:val="Normal"/>
    <w:link w:val="EndnoteTextChar"/>
    <w:rsid w:val="008D3D66"/>
    <w:rPr>
      <w:sz w:val="20"/>
      <w:szCs w:val="20"/>
    </w:rPr>
  </w:style>
  <w:style w:type="character" w:customStyle="1" w:styleId="EndnoteTextChar">
    <w:name w:val="Endnote Text Char"/>
    <w:basedOn w:val="DefaultParagraphFont"/>
    <w:link w:val="EndnoteText"/>
    <w:rsid w:val="008D3D66"/>
  </w:style>
  <w:style w:type="character" w:styleId="EndnoteReference">
    <w:name w:val="endnote reference"/>
    <w:rsid w:val="008D3D66"/>
    <w:rPr>
      <w:vertAlign w:val="superscript"/>
    </w:rPr>
  </w:style>
  <w:style w:type="paragraph" w:styleId="FootnoteText">
    <w:name w:val="footnote text"/>
    <w:basedOn w:val="Normal"/>
    <w:link w:val="FootnoteTextChar"/>
    <w:rsid w:val="008D3D66"/>
    <w:rPr>
      <w:sz w:val="20"/>
      <w:szCs w:val="20"/>
    </w:rPr>
  </w:style>
  <w:style w:type="character" w:customStyle="1" w:styleId="FootnoteTextChar">
    <w:name w:val="Footnote Text Char"/>
    <w:basedOn w:val="DefaultParagraphFont"/>
    <w:link w:val="FootnoteText"/>
    <w:rsid w:val="008D3D66"/>
  </w:style>
  <w:style w:type="character" w:styleId="FootnoteReference">
    <w:name w:val="footnote reference"/>
    <w:rsid w:val="008D3D66"/>
    <w:rPr>
      <w:vertAlign w:val="superscript"/>
    </w:rPr>
  </w:style>
  <w:style w:type="paragraph" w:styleId="ListParagraph">
    <w:name w:val="List Paragraph"/>
    <w:basedOn w:val="Normal"/>
    <w:uiPriority w:val="34"/>
    <w:qFormat/>
    <w:rsid w:val="000953F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A35C8"/>
    <w:rPr>
      <w:color w:val="0000FF" w:themeColor="hyperlink"/>
      <w:u w:val="single"/>
    </w:rPr>
  </w:style>
  <w:style w:type="character" w:customStyle="1" w:styleId="Heading1Char">
    <w:name w:val="Heading 1 Char"/>
    <w:basedOn w:val="DefaultParagraphFont"/>
    <w:link w:val="Heading1"/>
    <w:rsid w:val="00FB2D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9401E"/>
    <w:pPr>
      <w:spacing w:before="100" w:beforeAutospacing="1" w:after="100" w:afterAutospacing="1"/>
    </w:pPr>
    <w:rPr>
      <w:rFonts w:eastAsiaTheme="minorEastAsia"/>
    </w:rPr>
  </w:style>
  <w:style w:type="table" w:styleId="LightShading-Accent5">
    <w:name w:val="Light Shading Accent 5"/>
    <w:basedOn w:val="TableNormal"/>
    <w:uiPriority w:val="60"/>
    <w:rsid w:val="0015762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1576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1">
    <w:name w:val="Medium Shading 1 Accent 1"/>
    <w:basedOn w:val="TableNormal"/>
    <w:uiPriority w:val="63"/>
    <w:rsid w:val="001576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F64780"/>
    <w:pPr>
      <w:pBdr>
        <w:bottom w:val="single" w:sz="8" w:space="4" w:color="4F81BD" w:themeColor="accent1"/>
      </w:pBdr>
      <w:spacing w:after="300"/>
      <w:contextualSpacing/>
      <w:jc w:val="right"/>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rsid w:val="00F64780"/>
    <w:rPr>
      <w:rFonts w:asciiTheme="majorHAnsi" w:eastAsiaTheme="majorEastAsia" w:hAnsiTheme="majorHAnsi" w:cstheme="majorBidi"/>
      <w:color w:val="17365D" w:themeColor="text2" w:themeShade="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2D5C"/>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53A6"/>
    <w:rPr>
      <w:rFonts w:ascii="Tahoma" w:hAnsi="Tahoma" w:cs="Tahoma"/>
      <w:sz w:val="16"/>
      <w:szCs w:val="16"/>
    </w:rPr>
  </w:style>
  <w:style w:type="paragraph" w:styleId="Header">
    <w:name w:val="header"/>
    <w:basedOn w:val="Normal"/>
    <w:link w:val="HeaderChar"/>
    <w:uiPriority w:val="99"/>
    <w:rsid w:val="00B828FB"/>
    <w:pPr>
      <w:tabs>
        <w:tab w:val="center" w:pos="4320"/>
        <w:tab w:val="right" w:pos="8640"/>
      </w:tabs>
    </w:pPr>
    <w:rPr>
      <w:lang w:val="x-none" w:eastAsia="x-none"/>
    </w:rPr>
  </w:style>
  <w:style w:type="paragraph" w:styleId="Footer">
    <w:name w:val="footer"/>
    <w:basedOn w:val="Normal"/>
    <w:link w:val="FooterChar"/>
    <w:uiPriority w:val="99"/>
    <w:rsid w:val="00B828FB"/>
    <w:pPr>
      <w:tabs>
        <w:tab w:val="center" w:pos="4320"/>
        <w:tab w:val="right" w:pos="8640"/>
      </w:tabs>
    </w:pPr>
    <w:rPr>
      <w:lang w:val="x-none" w:eastAsia="x-none"/>
    </w:rPr>
  </w:style>
  <w:style w:type="table" w:styleId="TableGrid">
    <w:name w:val="Table Grid"/>
    <w:basedOn w:val="TableNormal"/>
    <w:rsid w:val="00C22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76373C"/>
    <w:rPr>
      <w:sz w:val="24"/>
      <w:szCs w:val="24"/>
    </w:rPr>
  </w:style>
  <w:style w:type="character" w:customStyle="1" w:styleId="FooterChar">
    <w:name w:val="Footer Char"/>
    <w:link w:val="Footer"/>
    <w:uiPriority w:val="99"/>
    <w:rsid w:val="00F92753"/>
    <w:rPr>
      <w:sz w:val="24"/>
      <w:szCs w:val="24"/>
    </w:rPr>
  </w:style>
  <w:style w:type="character" w:styleId="CommentReference">
    <w:name w:val="annotation reference"/>
    <w:rsid w:val="001F21A3"/>
    <w:rPr>
      <w:sz w:val="16"/>
      <w:szCs w:val="16"/>
    </w:rPr>
  </w:style>
  <w:style w:type="paragraph" w:styleId="CommentText">
    <w:name w:val="annotation text"/>
    <w:basedOn w:val="Normal"/>
    <w:link w:val="CommentTextChar"/>
    <w:rsid w:val="001F21A3"/>
    <w:rPr>
      <w:sz w:val="20"/>
      <w:szCs w:val="20"/>
    </w:rPr>
  </w:style>
  <w:style w:type="character" w:customStyle="1" w:styleId="CommentTextChar">
    <w:name w:val="Comment Text Char"/>
    <w:basedOn w:val="DefaultParagraphFont"/>
    <w:link w:val="CommentText"/>
    <w:rsid w:val="001F21A3"/>
  </w:style>
  <w:style w:type="paragraph" w:styleId="CommentSubject">
    <w:name w:val="annotation subject"/>
    <w:basedOn w:val="CommentText"/>
    <w:next w:val="CommentText"/>
    <w:link w:val="CommentSubjectChar"/>
    <w:rsid w:val="001F21A3"/>
    <w:rPr>
      <w:b/>
      <w:bCs/>
      <w:lang w:val="x-none" w:eastAsia="x-none"/>
    </w:rPr>
  </w:style>
  <w:style w:type="character" w:customStyle="1" w:styleId="CommentSubjectChar">
    <w:name w:val="Comment Subject Char"/>
    <w:link w:val="CommentSubject"/>
    <w:rsid w:val="001F21A3"/>
    <w:rPr>
      <w:b/>
      <w:bCs/>
    </w:rPr>
  </w:style>
  <w:style w:type="paragraph" w:styleId="EndnoteText">
    <w:name w:val="endnote text"/>
    <w:basedOn w:val="Normal"/>
    <w:link w:val="EndnoteTextChar"/>
    <w:rsid w:val="008D3D66"/>
    <w:rPr>
      <w:sz w:val="20"/>
      <w:szCs w:val="20"/>
    </w:rPr>
  </w:style>
  <w:style w:type="character" w:customStyle="1" w:styleId="EndnoteTextChar">
    <w:name w:val="Endnote Text Char"/>
    <w:basedOn w:val="DefaultParagraphFont"/>
    <w:link w:val="EndnoteText"/>
    <w:rsid w:val="008D3D66"/>
  </w:style>
  <w:style w:type="character" w:styleId="EndnoteReference">
    <w:name w:val="endnote reference"/>
    <w:rsid w:val="008D3D66"/>
    <w:rPr>
      <w:vertAlign w:val="superscript"/>
    </w:rPr>
  </w:style>
  <w:style w:type="paragraph" w:styleId="FootnoteText">
    <w:name w:val="footnote text"/>
    <w:basedOn w:val="Normal"/>
    <w:link w:val="FootnoteTextChar"/>
    <w:rsid w:val="008D3D66"/>
    <w:rPr>
      <w:sz w:val="20"/>
      <w:szCs w:val="20"/>
    </w:rPr>
  </w:style>
  <w:style w:type="character" w:customStyle="1" w:styleId="FootnoteTextChar">
    <w:name w:val="Footnote Text Char"/>
    <w:basedOn w:val="DefaultParagraphFont"/>
    <w:link w:val="FootnoteText"/>
    <w:rsid w:val="008D3D66"/>
  </w:style>
  <w:style w:type="character" w:styleId="FootnoteReference">
    <w:name w:val="footnote reference"/>
    <w:rsid w:val="008D3D66"/>
    <w:rPr>
      <w:vertAlign w:val="superscript"/>
    </w:rPr>
  </w:style>
  <w:style w:type="paragraph" w:styleId="ListParagraph">
    <w:name w:val="List Paragraph"/>
    <w:basedOn w:val="Normal"/>
    <w:uiPriority w:val="34"/>
    <w:qFormat/>
    <w:rsid w:val="000953F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A35C8"/>
    <w:rPr>
      <w:color w:val="0000FF" w:themeColor="hyperlink"/>
      <w:u w:val="single"/>
    </w:rPr>
  </w:style>
  <w:style w:type="character" w:customStyle="1" w:styleId="Heading1Char">
    <w:name w:val="Heading 1 Char"/>
    <w:basedOn w:val="DefaultParagraphFont"/>
    <w:link w:val="Heading1"/>
    <w:rsid w:val="00FB2D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9401E"/>
    <w:pPr>
      <w:spacing w:before="100" w:beforeAutospacing="1" w:after="100" w:afterAutospacing="1"/>
    </w:pPr>
    <w:rPr>
      <w:rFonts w:eastAsiaTheme="minorEastAsia"/>
    </w:rPr>
  </w:style>
  <w:style w:type="table" w:styleId="LightShading-Accent5">
    <w:name w:val="Light Shading Accent 5"/>
    <w:basedOn w:val="TableNormal"/>
    <w:uiPriority w:val="60"/>
    <w:rsid w:val="0015762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1576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1">
    <w:name w:val="Medium Shading 1 Accent 1"/>
    <w:basedOn w:val="TableNormal"/>
    <w:uiPriority w:val="63"/>
    <w:rsid w:val="001576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F64780"/>
    <w:pPr>
      <w:pBdr>
        <w:bottom w:val="single" w:sz="8" w:space="4" w:color="4F81BD" w:themeColor="accent1"/>
      </w:pBdr>
      <w:spacing w:after="300"/>
      <w:contextualSpacing/>
      <w:jc w:val="right"/>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rsid w:val="00F64780"/>
    <w:rPr>
      <w:rFonts w:asciiTheme="majorHAnsi" w:eastAsiaTheme="majorEastAsia" w:hAnsiTheme="majorHAnsi" w:cstheme="majorBidi"/>
      <w:color w:val="17365D" w:themeColor="text2" w:themeShade="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32">
      <w:bodyDiv w:val="1"/>
      <w:marLeft w:val="0"/>
      <w:marRight w:val="0"/>
      <w:marTop w:val="0"/>
      <w:marBottom w:val="0"/>
      <w:divBdr>
        <w:top w:val="none" w:sz="0" w:space="0" w:color="auto"/>
        <w:left w:val="none" w:sz="0" w:space="0" w:color="auto"/>
        <w:bottom w:val="none" w:sz="0" w:space="0" w:color="auto"/>
        <w:right w:val="none" w:sz="0" w:space="0" w:color="auto"/>
      </w:divBdr>
    </w:div>
    <w:div w:id="111680378">
      <w:bodyDiv w:val="1"/>
      <w:marLeft w:val="0"/>
      <w:marRight w:val="0"/>
      <w:marTop w:val="0"/>
      <w:marBottom w:val="0"/>
      <w:divBdr>
        <w:top w:val="none" w:sz="0" w:space="0" w:color="auto"/>
        <w:left w:val="none" w:sz="0" w:space="0" w:color="auto"/>
        <w:bottom w:val="none" w:sz="0" w:space="0" w:color="auto"/>
        <w:right w:val="none" w:sz="0" w:space="0" w:color="auto"/>
      </w:divBdr>
    </w:div>
    <w:div w:id="148524903">
      <w:bodyDiv w:val="1"/>
      <w:marLeft w:val="0"/>
      <w:marRight w:val="0"/>
      <w:marTop w:val="0"/>
      <w:marBottom w:val="0"/>
      <w:divBdr>
        <w:top w:val="none" w:sz="0" w:space="0" w:color="auto"/>
        <w:left w:val="none" w:sz="0" w:space="0" w:color="auto"/>
        <w:bottom w:val="none" w:sz="0" w:space="0" w:color="auto"/>
        <w:right w:val="none" w:sz="0" w:space="0" w:color="auto"/>
      </w:divBdr>
    </w:div>
    <w:div w:id="160660965">
      <w:bodyDiv w:val="1"/>
      <w:marLeft w:val="0"/>
      <w:marRight w:val="0"/>
      <w:marTop w:val="0"/>
      <w:marBottom w:val="0"/>
      <w:divBdr>
        <w:top w:val="none" w:sz="0" w:space="0" w:color="auto"/>
        <w:left w:val="none" w:sz="0" w:space="0" w:color="auto"/>
        <w:bottom w:val="none" w:sz="0" w:space="0" w:color="auto"/>
        <w:right w:val="none" w:sz="0" w:space="0" w:color="auto"/>
      </w:divBdr>
    </w:div>
    <w:div w:id="178281109">
      <w:bodyDiv w:val="1"/>
      <w:marLeft w:val="0"/>
      <w:marRight w:val="0"/>
      <w:marTop w:val="0"/>
      <w:marBottom w:val="0"/>
      <w:divBdr>
        <w:top w:val="none" w:sz="0" w:space="0" w:color="auto"/>
        <w:left w:val="none" w:sz="0" w:space="0" w:color="auto"/>
        <w:bottom w:val="none" w:sz="0" w:space="0" w:color="auto"/>
        <w:right w:val="none" w:sz="0" w:space="0" w:color="auto"/>
      </w:divBdr>
    </w:div>
    <w:div w:id="253319678">
      <w:bodyDiv w:val="1"/>
      <w:marLeft w:val="0"/>
      <w:marRight w:val="0"/>
      <w:marTop w:val="0"/>
      <w:marBottom w:val="0"/>
      <w:divBdr>
        <w:top w:val="none" w:sz="0" w:space="0" w:color="auto"/>
        <w:left w:val="none" w:sz="0" w:space="0" w:color="auto"/>
        <w:bottom w:val="none" w:sz="0" w:space="0" w:color="auto"/>
        <w:right w:val="none" w:sz="0" w:space="0" w:color="auto"/>
      </w:divBdr>
    </w:div>
    <w:div w:id="271522436">
      <w:bodyDiv w:val="1"/>
      <w:marLeft w:val="0"/>
      <w:marRight w:val="0"/>
      <w:marTop w:val="0"/>
      <w:marBottom w:val="0"/>
      <w:divBdr>
        <w:top w:val="none" w:sz="0" w:space="0" w:color="auto"/>
        <w:left w:val="none" w:sz="0" w:space="0" w:color="auto"/>
        <w:bottom w:val="none" w:sz="0" w:space="0" w:color="auto"/>
        <w:right w:val="none" w:sz="0" w:space="0" w:color="auto"/>
      </w:divBdr>
    </w:div>
    <w:div w:id="350760061">
      <w:bodyDiv w:val="1"/>
      <w:marLeft w:val="0"/>
      <w:marRight w:val="0"/>
      <w:marTop w:val="0"/>
      <w:marBottom w:val="0"/>
      <w:divBdr>
        <w:top w:val="none" w:sz="0" w:space="0" w:color="auto"/>
        <w:left w:val="none" w:sz="0" w:space="0" w:color="auto"/>
        <w:bottom w:val="none" w:sz="0" w:space="0" w:color="auto"/>
        <w:right w:val="none" w:sz="0" w:space="0" w:color="auto"/>
      </w:divBdr>
    </w:div>
    <w:div w:id="379130586">
      <w:bodyDiv w:val="1"/>
      <w:marLeft w:val="0"/>
      <w:marRight w:val="0"/>
      <w:marTop w:val="0"/>
      <w:marBottom w:val="0"/>
      <w:divBdr>
        <w:top w:val="none" w:sz="0" w:space="0" w:color="auto"/>
        <w:left w:val="none" w:sz="0" w:space="0" w:color="auto"/>
        <w:bottom w:val="none" w:sz="0" w:space="0" w:color="auto"/>
        <w:right w:val="none" w:sz="0" w:space="0" w:color="auto"/>
      </w:divBdr>
    </w:div>
    <w:div w:id="394862791">
      <w:bodyDiv w:val="1"/>
      <w:marLeft w:val="0"/>
      <w:marRight w:val="0"/>
      <w:marTop w:val="0"/>
      <w:marBottom w:val="0"/>
      <w:divBdr>
        <w:top w:val="none" w:sz="0" w:space="0" w:color="auto"/>
        <w:left w:val="none" w:sz="0" w:space="0" w:color="auto"/>
        <w:bottom w:val="none" w:sz="0" w:space="0" w:color="auto"/>
        <w:right w:val="none" w:sz="0" w:space="0" w:color="auto"/>
      </w:divBdr>
    </w:div>
    <w:div w:id="405150764">
      <w:bodyDiv w:val="1"/>
      <w:marLeft w:val="0"/>
      <w:marRight w:val="0"/>
      <w:marTop w:val="0"/>
      <w:marBottom w:val="0"/>
      <w:divBdr>
        <w:top w:val="none" w:sz="0" w:space="0" w:color="auto"/>
        <w:left w:val="none" w:sz="0" w:space="0" w:color="auto"/>
        <w:bottom w:val="none" w:sz="0" w:space="0" w:color="auto"/>
        <w:right w:val="none" w:sz="0" w:space="0" w:color="auto"/>
      </w:divBdr>
    </w:div>
    <w:div w:id="416050387">
      <w:bodyDiv w:val="1"/>
      <w:marLeft w:val="0"/>
      <w:marRight w:val="0"/>
      <w:marTop w:val="0"/>
      <w:marBottom w:val="0"/>
      <w:divBdr>
        <w:top w:val="none" w:sz="0" w:space="0" w:color="auto"/>
        <w:left w:val="none" w:sz="0" w:space="0" w:color="auto"/>
        <w:bottom w:val="none" w:sz="0" w:space="0" w:color="auto"/>
        <w:right w:val="none" w:sz="0" w:space="0" w:color="auto"/>
      </w:divBdr>
    </w:div>
    <w:div w:id="461314370">
      <w:bodyDiv w:val="1"/>
      <w:marLeft w:val="0"/>
      <w:marRight w:val="0"/>
      <w:marTop w:val="0"/>
      <w:marBottom w:val="0"/>
      <w:divBdr>
        <w:top w:val="none" w:sz="0" w:space="0" w:color="auto"/>
        <w:left w:val="none" w:sz="0" w:space="0" w:color="auto"/>
        <w:bottom w:val="none" w:sz="0" w:space="0" w:color="auto"/>
        <w:right w:val="none" w:sz="0" w:space="0" w:color="auto"/>
      </w:divBdr>
    </w:div>
    <w:div w:id="473372001">
      <w:bodyDiv w:val="1"/>
      <w:marLeft w:val="0"/>
      <w:marRight w:val="0"/>
      <w:marTop w:val="0"/>
      <w:marBottom w:val="0"/>
      <w:divBdr>
        <w:top w:val="none" w:sz="0" w:space="0" w:color="auto"/>
        <w:left w:val="none" w:sz="0" w:space="0" w:color="auto"/>
        <w:bottom w:val="none" w:sz="0" w:space="0" w:color="auto"/>
        <w:right w:val="none" w:sz="0" w:space="0" w:color="auto"/>
      </w:divBdr>
    </w:div>
    <w:div w:id="512110237">
      <w:bodyDiv w:val="1"/>
      <w:marLeft w:val="0"/>
      <w:marRight w:val="0"/>
      <w:marTop w:val="0"/>
      <w:marBottom w:val="0"/>
      <w:divBdr>
        <w:top w:val="none" w:sz="0" w:space="0" w:color="auto"/>
        <w:left w:val="none" w:sz="0" w:space="0" w:color="auto"/>
        <w:bottom w:val="none" w:sz="0" w:space="0" w:color="auto"/>
        <w:right w:val="none" w:sz="0" w:space="0" w:color="auto"/>
      </w:divBdr>
    </w:div>
    <w:div w:id="531890291">
      <w:bodyDiv w:val="1"/>
      <w:marLeft w:val="0"/>
      <w:marRight w:val="0"/>
      <w:marTop w:val="0"/>
      <w:marBottom w:val="0"/>
      <w:divBdr>
        <w:top w:val="none" w:sz="0" w:space="0" w:color="auto"/>
        <w:left w:val="none" w:sz="0" w:space="0" w:color="auto"/>
        <w:bottom w:val="none" w:sz="0" w:space="0" w:color="auto"/>
        <w:right w:val="none" w:sz="0" w:space="0" w:color="auto"/>
      </w:divBdr>
    </w:div>
    <w:div w:id="548538224">
      <w:bodyDiv w:val="1"/>
      <w:marLeft w:val="0"/>
      <w:marRight w:val="0"/>
      <w:marTop w:val="0"/>
      <w:marBottom w:val="0"/>
      <w:divBdr>
        <w:top w:val="none" w:sz="0" w:space="0" w:color="auto"/>
        <w:left w:val="none" w:sz="0" w:space="0" w:color="auto"/>
        <w:bottom w:val="none" w:sz="0" w:space="0" w:color="auto"/>
        <w:right w:val="none" w:sz="0" w:space="0" w:color="auto"/>
      </w:divBdr>
    </w:div>
    <w:div w:id="548565727">
      <w:bodyDiv w:val="1"/>
      <w:marLeft w:val="0"/>
      <w:marRight w:val="0"/>
      <w:marTop w:val="0"/>
      <w:marBottom w:val="0"/>
      <w:divBdr>
        <w:top w:val="none" w:sz="0" w:space="0" w:color="auto"/>
        <w:left w:val="none" w:sz="0" w:space="0" w:color="auto"/>
        <w:bottom w:val="none" w:sz="0" w:space="0" w:color="auto"/>
        <w:right w:val="none" w:sz="0" w:space="0" w:color="auto"/>
      </w:divBdr>
    </w:div>
    <w:div w:id="581372291">
      <w:bodyDiv w:val="1"/>
      <w:marLeft w:val="0"/>
      <w:marRight w:val="0"/>
      <w:marTop w:val="0"/>
      <w:marBottom w:val="0"/>
      <w:divBdr>
        <w:top w:val="none" w:sz="0" w:space="0" w:color="auto"/>
        <w:left w:val="none" w:sz="0" w:space="0" w:color="auto"/>
        <w:bottom w:val="none" w:sz="0" w:space="0" w:color="auto"/>
        <w:right w:val="none" w:sz="0" w:space="0" w:color="auto"/>
      </w:divBdr>
    </w:div>
    <w:div w:id="581642861">
      <w:bodyDiv w:val="1"/>
      <w:marLeft w:val="0"/>
      <w:marRight w:val="0"/>
      <w:marTop w:val="0"/>
      <w:marBottom w:val="0"/>
      <w:divBdr>
        <w:top w:val="none" w:sz="0" w:space="0" w:color="auto"/>
        <w:left w:val="none" w:sz="0" w:space="0" w:color="auto"/>
        <w:bottom w:val="none" w:sz="0" w:space="0" w:color="auto"/>
        <w:right w:val="none" w:sz="0" w:space="0" w:color="auto"/>
      </w:divBdr>
    </w:div>
    <w:div w:id="591932075">
      <w:bodyDiv w:val="1"/>
      <w:marLeft w:val="0"/>
      <w:marRight w:val="0"/>
      <w:marTop w:val="0"/>
      <w:marBottom w:val="0"/>
      <w:divBdr>
        <w:top w:val="none" w:sz="0" w:space="0" w:color="auto"/>
        <w:left w:val="none" w:sz="0" w:space="0" w:color="auto"/>
        <w:bottom w:val="none" w:sz="0" w:space="0" w:color="auto"/>
        <w:right w:val="none" w:sz="0" w:space="0" w:color="auto"/>
      </w:divBdr>
    </w:div>
    <w:div w:id="622813001">
      <w:bodyDiv w:val="1"/>
      <w:marLeft w:val="0"/>
      <w:marRight w:val="0"/>
      <w:marTop w:val="0"/>
      <w:marBottom w:val="0"/>
      <w:divBdr>
        <w:top w:val="none" w:sz="0" w:space="0" w:color="auto"/>
        <w:left w:val="none" w:sz="0" w:space="0" w:color="auto"/>
        <w:bottom w:val="none" w:sz="0" w:space="0" w:color="auto"/>
        <w:right w:val="none" w:sz="0" w:space="0" w:color="auto"/>
      </w:divBdr>
    </w:div>
    <w:div w:id="635069370">
      <w:bodyDiv w:val="1"/>
      <w:marLeft w:val="0"/>
      <w:marRight w:val="0"/>
      <w:marTop w:val="0"/>
      <w:marBottom w:val="0"/>
      <w:divBdr>
        <w:top w:val="none" w:sz="0" w:space="0" w:color="auto"/>
        <w:left w:val="none" w:sz="0" w:space="0" w:color="auto"/>
        <w:bottom w:val="none" w:sz="0" w:space="0" w:color="auto"/>
        <w:right w:val="none" w:sz="0" w:space="0" w:color="auto"/>
      </w:divBdr>
    </w:div>
    <w:div w:id="635187736">
      <w:bodyDiv w:val="1"/>
      <w:marLeft w:val="0"/>
      <w:marRight w:val="0"/>
      <w:marTop w:val="0"/>
      <w:marBottom w:val="0"/>
      <w:divBdr>
        <w:top w:val="none" w:sz="0" w:space="0" w:color="auto"/>
        <w:left w:val="none" w:sz="0" w:space="0" w:color="auto"/>
        <w:bottom w:val="none" w:sz="0" w:space="0" w:color="auto"/>
        <w:right w:val="none" w:sz="0" w:space="0" w:color="auto"/>
      </w:divBdr>
    </w:div>
    <w:div w:id="692614762">
      <w:bodyDiv w:val="1"/>
      <w:marLeft w:val="0"/>
      <w:marRight w:val="0"/>
      <w:marTop w:val="0"/>
      <w:marBottom w:val="0"/>
      <w:divBdr>
        <w:top w:val="none" w:sz="0" w:space="0" w:color="auto"/>
        <w:left w:val="none" w:sz="0" w:space="0" w:color="auto"/>
        <w:bottom w:val="none" w:sz="0" w:space="0" w:color="auto"/>
        <w:right w:val="none" w:sz="0" w:space="0" w:color="auto"/>
      </w:divBdr>
    </w:div>
    <w:div w:id="694887007">
      <w:bodyDiv w:val="1"/>
      <w:marLeft w:val="0"/>
      <w:marRight w:val="0"/>
      <w:marTop w:val="0"/>
      <w:marBottom w:val="0"/>
      <w:divBdr>
        <w:top w:val="none" w:sz="0" w:space="0" w:color="auto"/>
        <w:left w:val="none" w:sz="0" w:space="0" w:color="auto"/>
        <w:bottom w:val="none" w:sz="0" w:space="0" w:color="auto"/>
        <w:right w:val="none" w:sz="0" w:space="0" w:color="auto"/>
      </w:divBdr>
    </w:div>
    <w:div w:id="710033254">
      <w:bodyDiv w:val="1"/>
      <w:marLeft w:val="0"/>
      <w:marRight w:val="0"/>
      <w:marTop w:val="0"/>
      <w:marBottom w:val="0"/>
      <w:divBdr>
        <w:top w:val="none" w:sz="0" w:space="0" w:color="auto"/>
        <w:left w:val="none" w:sz="0" w:space="0" w:color="auto"/>
        <w:bottom w:val="none" w:sz="0" w:space="0" w:color="auto"/>
        <w:right w:val="none" w:sz="0" w:space="0" w:color="auto"/>
      </w:divBdr>
    </w:div>
    <w:div w:id="827088494">
      <w:bodyDiv w:val="1"/>
      <w:marLeft w:val="0"/>
      <w:marRight w:val="0"/>
      <w:marTop w:val="0"/>
      <w:marBottom w:val="0"/>
      <w:divBdr>
        <w:top w:val="none" w:sz="0" w:space="0" w:color="auto"/>
        <w:left w:val="none" w:sz="0" w:space="0" w:color="auto"/>
        <w:bottom w:val="none" w:sz="0" w:space="0" w:color="auto"/>
        <w:right w:val="none" w:sz="0" w:space="0" w:color="auto"/>
      </w:divBdr>
    </w:div>
    <w:div w:id="861359155">
      <w:bodyDiv w:val="1"/>
      <w:marLeft w:val="0"/>
      <w:marRight w:val="0"/>
      <w:marTop w:val="0"/>
      <w:marBottom w:val="0"/>
      <w:divBdr>
        <w:top w:val="none" w:sz="0" w:space="0" w:color="auto"/>
        <w:left w:val="none" w:sz="0" w:space="0" w:color="auto"/>
        <w:bottom w:val="none" w:sz="0" w:space="0" w:color="auto"/>
        <w:right w:val="none" w:sz="0" w:space="0" w:color="auto"/>
      </w:divBdr>
    </w:div>
    <w:div w:id="881017695">
      <w:bodyDiv w:val="1"/>
      <w:marLeft w:val="0"/>
      <w:marRight w:val="0"/>
      <w:marTop w:val="0"/>
      <w:marBottom w:val="0"/>
      <w:divBdr>
        <w:top w:val="none" w:sz="0" w:space="0" w:color="auto"/>
        <w:left w:val="none" w:sz="0" w:space="0" w:color="auto"/>
        <w:bottom w:val="none" w:sz="0" w:space="0" w:color="auto"/>
        <w:right w:val="none" w:sz="0" w:space="0" w:color="auto"/>
      </w:divBdr>
    </w:div>
    <w:div w:id="950548625">
      <w:bodyDiv w:val="1"/>
      <w:marLeft w:val="0"/>
      <w:marRight w:val="0"/>
      <w:marTop w:val="0"/>
      <w:marBottom w:val="0"/>
      <w:divBdr>
        <w:top w:val="none" w:sz="0" w:space="0" w:color="auto"/>
        <w:left w:val="none" w:sz="0" w:space="0" w:color="auto"/>
        <w:bottom w:val="none" w:sz="0" w:space="0" w:color="auto"/>
        <w:right w:val="none" w:sz="0" w:space="0" w:color="auto"/>
      </w:divBdr>
    </w:div>
    <w:div w:id="953441933">
      <w:bodyDiv w:val="1"/>
      <w:marLeft w:val="0"/>
      <w:marRight w:val="0"/>
      <w:marTop w:val="0"/>
      <w:marBottom w:val="0"/>
      <w:divBdr>
        <w:top w:val="none" w:sz="0" w:space="0" w:color="auto"/>
        <w:left w:val="none" w:sz="0" w:space="0" w:color="auto"/>
        <w:bottom w:val="none" w:sz="0" w:space="0" w:color="auto"/>
        <w:right w:val="none" w:sz="0" w:space="0" w:color="auto"/>
      </w:divBdr>
    </w:div>
    <w:div w:id="962465350">
      <w:bodyDiv w:val="1"/>
      <w:marLeft w:val="0"/>
      <w:marRight w:val="0"/>
      <w:marTop w:val="0"/>
      <w:marBottom w:val="0"/>
      <w:divBdr>
        <w:top w:val="none" w:sz="0" w:space="0" w:color="auto"/>
        <w:left w:val="none" w:sz="0" w:space="0" w:color="auto"/>
        <w:bottom w:val="none" w:sz="0" w:space="0" w:color="auto"/>
        <w:right w:val="none" w:sz="0" w:space="0" w:color="auto"/>
      </w:divBdr>
    </w:div>
    <w:div w:id="966469084">
      <w:bodyDiv w:val="1"/>
      <w:marLeft w:val="0"/>
      <w:marRight w:val="0"/>
      <w:marTop w:val="0"/>
      <w:marBottom w:val="0"/>
      <w:divBdr>
        <w:top w:val="none" w:sz="0" w:space="0" w:color="auto"/>
        <w:left w:val="none" w:sz="0" w:space="0" w:color="auto"/>
        <w:bottom w:val="none" w:sz="0" w:space="0" w:color="auto"/>
        <w:right w:val="none" w:sz="0" w:space="0" w:color="auto"/>
      </w:divBdr>
    </w:div>
    <w:div w:id="975573593">
      <w:bodyDiv w:val="1"/>
      <w:marLeft w:val="0"/>
      <w:marRight w:val="0"/>
      <w:marTop w:val="0"/>
      <w:marBottom w:val="0"/>
      <w:divBdr>
        <w:top w:val="none" w:sz="0" w:space="0" w:color="auto"/>
        <w:left w:val="none" w:sz="0" w:space="0" w:color="auto"/>
        <w:bottom w:val="none" w:sz="0" w:space="0" w:color="auto"/>
        <w:right w:val="none" w:sz="0" w:space="0" w:color="auto"/>
      </w:divBdr>
    </w:div>
    <w:div w:id="984698051">
      <w:bodyDiv w:val="1"/>
      <w:marLeft w:val="0"/>
      <w:marRight w:val="0"/>
      <w:marTop w:val="0"/>
      <w:marBottom w:val="0"/>
      <w:divBdr>
        <w:top w:val="none" w:sz="0" w:space="0" w:color="auto"/>
        <w:left w:val="none" w:sz="0" w:space="0" w:color="auto"/>
        <w:bottom w:val="none" w:sz="0" w:space="0" w:color="auto"/>
        <w:right w:val="none" w:sz="0" w:space="0" w:color="auto"/>
      </w:divBdr>
    </w:div>
    <w:div w:id="1013646431">
      <w:bodyDiv w:val="1"/>
      <w:marLeft w:val="0"/>
      <w:marRight w:val="0"/>
      <w:marTop w:val="0"/>
      <w:marBottom w:val="0"/>
      <w:divBdr>
        <w:top w:val="none" w:sz="0" w:space="0" w:color="auto"/>
        <w:left w:val="none" w:sz="0" w:space="0" w:color="auto"/>
        <w:bottom w:val="none" w:sz="0" w:space="0" w:color="auto"/>
        <w:right w:val="none" w:sz="0" w:space="0" w:color="auto"/>
      </w:divBdr>
    </w:div>
    <w:div w:id="1073577332">
      <w:bodyDiv w:val="1"/>
      <w:marLeft w:val="0"/>
      <w:marRight w:val="0"/>
      <w:marTop w:val="0"/>
      <w:marBottom w:val="0"/>
      <w:divBdr>
        <w:top w:val="none" w:sz="0" w:space="0" w:color="auto"/>
        <w:left w:val="none" w:sz="0" w:space="0" w:color="auto"/>
        <w:bottom w:val="none" w:sz="0" w:space="0" w:color="auto"/>
        <w:right w:val="none" w:sz="0" w:space="0" w:color="auto"/>
      </w:divBdr>
    </w:div>
    <w:div w:id="1098645882">
      <w:bodyDiv w:val="1"/>
      <w:marLeft w:val="0"/>
      <w:marRight w:val="0"/>
      <w:marTop w:val="0"/>
      <w:marBottom w:val="0"/>
      <w:divBdr>
        <w:top w:val="none" w:sz="0" w:space="0" w:color="auto"/>
        <w:left w:val="none" w:sz="0" w:space="0" w:color="auto"/>
        <w:bottom w:val="none" w:sz="0" w:space="0" w:color="auto"/>
        <w:right w:val="none" w:sz="0" w:space="0" w:color="auto"/>
      </w:divBdr>
    </w:div>
    <w:div w:id="1160848462">
      <w:bodyDiv w:val="1"/>
      <w:marLeft w:val="0"/>
      <w:marRight w:val="0"/>
      <w:marTop w:val="0"/>
      <w:marBottom w:val="0"/>
      <w:divBdr>
        <w:top w:val="none" w:sz="0" w:space="0" w:color="auto"/>
        <w:left w:val="none" w:sz="0" w:space="0" w:color="auto"/>
        <w:bottom w:val="none" w:sz="0" w:space="0" w:color="auto"/>
        <w:right w:val="none" w:sz="0" w:space="0" w:color="auto"/>
      </w:divBdr>
    </w:div>
    <w:div w:id="1179851563">
      <w:bodyDiv w:val="1"/>
      <w:marLeft w:val="0"/>
      <w:marRight w:val="0"/>
      <w:marTop w:val="0"/>
      <w:marBottom w:val="0"/>
      <w:divBdr>
        <w:top w:val="none" w:sz="0" w:space="0" w:color="auto"/>
        <w:left w:val="none" w:sz="0" w:space="0" w:color="auto"/>
        <w:bottom w:val="none" w:sz="0" w:space="0" w:color="auto"/>
        <w:right w:val="none" w:sz="0" w:space="0" w:color="auto"/>
      </w:divBdr>
    </w:div>
    <w:div w:id="1213271239">
      <w:bodyDiv w:val="1"/>
      <w:marLeft w:val="0"/>
      <w:marRight w:val="0"/>
      <w:marTop w:val="0"/>
      <w:marBottom w:val="0"/>
      <w:divBdr>
        <w:top w:val="none" w:sz="0" w:space="0" w:color="auto"/>
        <w:left w:val="none" w:sz="0" w:space="0" w:color="auto"/>
        <w:bottom w:val="none" w:sz="0" w:space="0" w:color="auto"/>
        <w:right w:val="none" w:sz="0" w:space="0" w:color="auto"/>
      </w:divBdr>
    </w:div>
    <w:div w:id="1217400185">
      <w:bodyDiv w:val="1"/>
      <w:marLeft w:val="0"/>
      <w:marRight w:val="0"/>
      <w:marTop w:val="0"/>
      <w:marBottom w:val="0"/>
      <w:divBdr>
        <w:top w:val="none" w:sz="0" w:space="0" w:color="auto"/>
        <w:left w:val="none" w:sz="0" w:space="0" w:color="auto"/>
        <w:bottom w:val="none" w:sz="0" w:space="0" w:color="auto"/>
        <w:right w:val="none" w:sz="0" w:space="0" w:color="auto"/>
      </w:divBdr>
    </w:div>
    <w:div w:id="1246569633">
      <w:bodyDiv w:val="1"/>
      <w:marLeft w:val="0"/>
      <w:marRight w:val="0"/>
      <w:marTop w:val="0"/>
      <w:marBottom w:val="0"/>
      <w:divBdr>
        <w:top w:val="none" w:sz="0" w:space="0" w:color="auto"/>
        <w:left w:val="none" w:sz="0" w:space="0" w:color="auto"/>
        <w:bottom w:val="none" w:sz="0" w:space="0" w:color="auto"/>
        <w:right w:val="none" w:sz="0" w:space="0" w:color="auto"/>
      </w:divBdr>
    </w:div>
    <w:div w:id="1294409596">
      <w:bodyDiv w:val="1"/>
      <w:marLeft w:val="0"/>
      <w:marRight w:val="0"/>
      <w:marTop w:val="0"/>
      <w:marBottom w:val="0"/>
      <w:divBdr>
        <w:top w:val="none" w:sz="0" w:space="0" w:color="auto"/>
        <w:left w:val="none" w:sz="0" w:space="0" w:color="auto"/>
        <w:bottom w:val="none" w:sz="0" w:space="0" w:color="auto"/>
        <w:right w:val="none" w:sz="0" w:space="0" w:color="auto"/>
      </w:divBdr>
    </w:div>
    <w:div w:id="1345011341">
      <w:bodyDiv w:val="1"/>
      <w:marLeft w:val="0"/>
      <w:marRight w:val="0"/>
      <w:marTop w:val="0"/>
      <w:marBottom w:val="0"/>
      <w:divBdr>
        <w:top w:val="none" w:sz="0" w:space="0" w:color="auto"/>
        <w:left w:val="none" w:sz="0" w:space="0" w:color="auto"/>
        <w:bottom w:val="none" w:sz="0" w:space="0" w:color="auto"/>
        <w:right w:val="none" w:sz="0" w:space="0" w:color="auto"/>
      </w:divBdr>
    </w:div>
    <w:div w:id="1361515924">
      <w:bodyDiv w:val="1"/>
      <w:marLeft w:val="0"/>
      <w:marRight w:val="0"/>
      <w:marTop w:val="0"/>
      <w:marBottom w:val="0"/>
      <w:divBdr>
        <w:top w:val="none" w:sz="0" w:space="0" w:color="auto"/>
        <w:left w:val="none" w:sz="0" w:space="0" w:color="auto"/>
        <w:bottom w:val="none" w:sz="0" w:space="0" w:color="auto"/>
        <w:right w:val="none" w:sz="0" w:space="0" w:color="auto"/>
      </w:divBdr>
    </w:div>
    <w:div w:id="1398698985">
      <w:bodyDiv w:val="1"/>
      <w:marLeft w:val="0"/>
      <w:marRight w:val="0"/>
      <w:marTop w:val="0"/>
      <w:marBottom w:val="0"/>
      <w:divBdr>
        <w:top w:val="none" w:sz="0" w:space="0" w:color="auto"/>
        <w:left w:val="none" w:sz="0" w:space="0" w:color="auto"/>
        <w:bottom w:val="none" w:sz="0" w:space="0" w:color="auto"/>
        <w:right w:val="none" w:sz="0" w:space="0" w:color="auto"/>
      </w:divBdr>
    </w:div>
    <w:div w:id="1406145259">
      <w:bodyDiv w:val="1"/>
      <w:marLeft w:val="0"/>
      <w:marRight w:val="0"/>
      <w:marTop w:val="0"/>
      <w:marBottom w:val="0"/>
      <w:divBdr>
        <w:top w:val="none" w:sz="0" w:space="0" w:color="auto"/>
        <w:left w:val="none" w:sz="0" w:space="0" w:color="auto"/>
        <w:bottom w:val="none" w:sz="0" w:space="0" w:color="auto"/>
        <w:right w:val="none" w:sz="0" w:space="0" w:color="auto"/>
      </w:divBdr>
    </w:div>
    <w:div w:id="1419134101">
      <w:bodyDiv w:val="1"/>
      <w:marLeft w:val="0"/>
      <w:marRight w:val="0"/>
      <w:marTop w:val="0"/>
      <w:marBottom w:val="0"/>
      <w:divBdr>
        <w:top w:val="none" w:sz="0" w:space="0" w:color="auto"/>
        <w:left w:val="none" w:sz="0" w:space="0" w:color="auto"/>
        <w:bottom w:val="none" w:sz="0" w:space="0" w:color="auto"/>
        <w:right w:val="none" w:sz="0" w:space="0" w:color="auto"/>
      </w:divBdr>
    </w:div>
    <w:div w:id="1429735554">
      <w:bodyDiv w:val="1"/>
      <w:marLeft w:val="0"/>
      <w:marRight w:val="0"/>
      <w:marTop w:val="0"/>
      <w:marBottom w:val="0"/>
      <w:divBdr>
        <w:top w:val="none" w:sz="0" w:space="0" w:color="auto"/>
        <w:left w:val="none" w:sz="0" w:space="0" w:color="auto"/>
        <w:bottom w:val="none" w:sz="0" w:space="0" w:color="auto"/>
        <w:right w:val="none" w:sz="0" w:space="0" w:color="auto"/>
      </w:divBdr>
    </w:div>
    <w:div w:id="1490442867">
      <w:bodyDiv w:val="1"/>
      <w:marLeft w:val="0"/>
      <w:marRight w:val="0"/>
      <w:marTop w:val="0"/>
      <w:marBottom w:val="0"/>
      <w:divBdr>
        <w:top w:val="none" w:sz="0" w:space="0" w:color="auto"/>
        <w:left w:val="none" w:sz="0" w:space="0" w:color="auto"/>
        <w:bottom w:val="none" w:sz="0" w:space="0" w:color="auto"/>
        <w:right w:val="none" w:sz="0" w:space="0" w:color="auto"/>
      </w:divBdr>
    </w:div>
    <w:div w:id="1491216172">
      <w:bodyDiv w:val="1"/>
      <w:marLeft w:val="0"/>
      <w:marRight w:val="0"/>
      <w:marTop w:val="0"/>
      <w:marBottom w:val="0"/>
      <w:divBdr>
        <w:top w:val="none" w:sz="0" w:space="0" w:color="auto"/>
        <w:left w:val="none" w:sz="0" w:space="0" w:color="auto"/>
        <w:bottom w:val="none" w:sz="0" w:space="0" w:color="auto"/>
        <w:right w:val="none" w:sz="0" w:space="0" w:color="auto"/>
      </w:divBdr>
    </w:div>
    <w:div w:id="1509174811">
      <w:bodyDiv w:val="1"/>
      <w:marLeft w:val="0"/>
      <w:marRight w:val="0"/>
      <w:marTop w:val="0"/>
      <w:marBottom w:val="0"/>
      <w:divBdr>
        <w:top w:val="none" w:sz="0" w:space="0" w:color="auto"/>
        <w:left w:val="none" w:sz="0" w:space="0" w:color="auto"/>
        <w:bottom w:val="none" w:sz="0" w:space="0" w:color="auto"/>
        <w:right w:val="none" w:sz="0" w:space="0" w:color="auto"/>
      </w:divBdr>
    </w:div>
    <w:div w:id="1516577947">
      <w:bodyDiv w:val="1"/>
      <w:marLeft w:val="0"/>
      <w:marRight w:val="0"/>
      <w:marTop w:val="0"/>
      <w:marBottom w:val="0"/>
      <w:divBdr>
        <w:top w:val="none" w:sz="0" w:space="0" w:color="auto"/>
        <w:left w:val="none" w:sz="0" w:space="0" w:color="auto"/>
        <w:bottom w:val="none" w:sz="0" w:space="0" w:color="auto"/>
        <w:right w:val="none" w:sz="0" w:space="0" w:color="auto"/>
      </w:divBdr>
    </w:div>
    <w:div w:id="1519738215">
      <w:bodyDiv w:val="1"/>
      <w:marLeft w:val="0"/>
      <w:marRight w:val="0"/>
      <w:marTop w:val="0"/>
      <w:marBottom w:val="0"/>
      <w:divBdr>
        <w:top w:val="none" w:sz="0" w:space="0" w:color="auto"/>
        <w:left w:val="none" w:sz="0" w:space="0" w:color="auto"/>
        <w:bottom w:val="none" w:sz="0" w:space="0" w:color="auto"/>
        <w:right w:val="none" w:sz="0" w:space="0" w:color="auto"/>
      </w:divBdr>
    </w:div>
    <w:div w:id="1560895629">
      <w:bodyDiv w:val="1"/>
      <w:marLeft w:val="0"/>
      <w:marRight w:val="0"/>
      <w:marTop w:val="0"/>
      <w:marBottom w:val="0"/>
      <w:divBdr>
        <w:top w:val="none" w:sz="0" w:space="0" w:color="auto"/>
        <w:left w:val="none" w:sz="0" w:space="0" w:color="auto"/>
        <w:bottom w:val="none" w:sz="0" w:space="0" w:color="auto"/>
        <w:right w:val="none" w:sz="0" w:space="0" w:color="auto"/>
      </w:divBdr>
    </w:div>
    <w:div w:id="1567958654">
      <w:bodyDiv w:val="1"/>
      <w:marLeft w:val="0"/>
      <w:marRight w:val="0"/>
      <w:marTop w:val="0"/>
      <w:marBottom w:val="0"/>
      <w:divBdr>
        <w:top w:val="none" w:sz="0" w:space="0" w:color="auto"/>
        <w:left w:val="none" w:sz="0" w:space="0" w:color="auto"/>
        <w:bottom w:val="none" w:sz="0" w:space="0" w:color="auto"/>
        <w:right w:val="none" w:sz="0" w:space="0" w:color="auto"/>
      </w:divBdr>
    </w:div>
    <w:div w:id="1588690235">
      <w:bodyDiv w:val="1"/>
      <w:marLeft w:val="0"/>
      <w:marRight w:val="0"/>
      <w:marTop w:val="0"/>
      <w:marBottom w:val="0"/>
      <w:divBdr>
        <w:top w:val="none" w:sz="0" w:space="0" w:color="auto"/>
        <w:left w:val="none" w:sz="0" w:space="0" w:color="auto"/>
        <w:bottom w:val="none" w:sz="0" w:space="0" w:color="auto"/>
        <w:right w:val="none" w:sz="0" w:space="0" w:color="auto"/>
      </w:divBdr>
    </w:div>
    <w:div w:id="1616206626">
      <w:bodyDiv w:val="1"/>
      <w:marLeft w:val="0"/>
      <w:marRight w:val="0"/>
      <w:marTop w:val="0"/>
      <w:marBottom w:val="0"/>
      <w:divBdr>
        <w:top w:val="none" w:sz="0" w:space="0" w:color="auto"/>
        <w:left w:val="none" w:sz="0" w:space="0" w:color="auto"/>
        <w:bottom w:val="none" w:sz="0" w:space="0" w:color="auto"/>
        <w:right w:val="none" w:sz="0" w:space="0" w:color="auto"/>
      </w:divBdr>
    </w:div>
    <w:div w:id="1645311851">
      <w:bodyDiv w:val="1"/>
      <w:marLeft w:val="0"/>
      <w:marRight w:val="0"/>
      <w:marTop w:val="0"/>
      <w:marBottom w:val="0"/>
      <w:divBdr>
        <w:top w:val="none" w:sz="0" w:space="0" w:color="auto"/>
        <w:left w:val="none" w:sz="0" w:space="0" w:color="auto"/>
        <w:bottom w:val="none" w:sz="0" w:space="0" w:color="auto"/>
        <w:right w:val="none" w:sz="0" w:space="0" w:color="auto"/>
      </w:divBdr>
    </w:div>
    <w:div w:id="1664042120">
      <w:bodyDiv w:val="1"/>
      <w:marLeft w:val="0"/>
      <w:marRight w:val="0"/>
      <w:marTop w:val="0"/>
      <w:marBottom w:val="0"/>
      <w:divBdr>
        <w:top w:val="none" w:sz="0" w:space="0" w:color="auto"/>
        <w:left w:val="none" w:sz="0" w:space="0" w:color="auto"/>
        <w:bottom w:val="none" w:sz="0" w:space="0" w:color="auto"/>
        <w:right w:val="none" w:sz="0" w:space="0" w:color="auto"/>
      </w:divBdr>
    </w:div>
    <w:div w:id="1668052145">
      <w:bodyDiv w:val="1"/>
      <w:marLeft w:val="0"/>
      <w:marRight w:val="0"/>
      <w:marTop w:val="0"/>
      <w:marBottom w:val="0"/>
      <w:divBdr>
        <w:top w:val="none" w:sz="0" w:space="0" w:color="auto"/>
        <w:left w:val="none" w:sz="0" w:space="0" w:color="auto"/>
        <w:bottom w:val="none" w:sz="0" w:space="0" w:color="auto"/>
        <w:right w:val="none" w:sz="0" w:space="0" w:color="auto"/>
      </w:divBdr>
    </w:div>
    <w:div w:id="1668243032">
      <w:bodyDiv w:val="1"/>
      <w:marLeft w:val="0"/>
      <w:marRight w:val="0"/>
      <w:marTop w:val="0"/>
      <w:marBottom w:val="0"/>
      <w:divBdr>
        <w:top w:val="none" w:sz="0" w:space="0" w:color="auto"/>
        <w:left w:val="none" w:sz="0" w:space="0" w:color="auto"/>
        <w:bottom w:val="none" w:sz="0" w:space="0" w:color="auto"/>
        <w:right w:val="none" w:sz="0" w:space="0" w:color="auto"/>
      </w:divBdr>
    </w:div>
    <w:div w:id="1674718676">
      <w:bodyDiv w:val="1"/>
      <w:marLeft w:val="0"/>
      <w:marRight w:val="0"/>
      <w:marTop w:val="0"/>
      <w:marBottom w:val="0"/>
      <w:divBdr>
        <w:top w:val="none" w:sz="0" w:space="0" w:color="auto"/>
        <w:left w:val="none" w:sz="0" w:space="0" w:color="auto"/>
        <w:bottom w:val="none" w:sz="0" w:space="0" w:color="auto"/>
        <w:right w:val="none" w:sz="0" w:space="0" w:color="auto"/>
      </w:divBdr>
    </w:div>
    <w:div w:id="1704355680">
      <w:bodyDiv w:val="1"/>
      <w:marLeft w:val="0"/>
      <w:marRight w:val="0"/>
      <w:marTop w:val="0"/>
      <w:marBottom w:val="0"/>
      <w:divBdr>
        <w:top w:val="none" w:sz="0" w:space="0" w:color="auto"/>
        <w:left w:val="none" w:sz="0" w:space="0" w:color="auto"/>
        <w:bottom w:val="none" w:sz="0" w:space="0" w:color="auto"/>
        <w:right w:val="none" w:sz="0" w:space="0" w:color="auto"/>
      </w:divBdr>
    </w:div>
    <w:div w:id="1710915375">
      <w:bodyDiv w:val="1"/>
      <w:marLeft w:val="0"/>
      <w:marRight w:val="0"/>
      <w:marTop w:val="0"/>
      <w:marBottom w:val="0"/>
      <w:divBdr>
        <w:top w:val="none" w:sz="0" w:space="0" w:color="auto"/>
        <w:left w:val="none" w:sz="0" w:space="0" w:color="auto"/>
        <w:bottom w:val="none" w:sz="0" w:space="0" w:color="auto"/>
        <w:right w:val="none" w:sz="0" w:space="0" w:color="auto"/>
      </w:divBdr>
    </w:div>
    <w:div w:id="1802109952">
      <w:bodyDiv w:val="1"/>
      <w:marLeft w:val="0"/>
      <w:marRight w:val="0"/>
      <w:marTop w:val="0"/>
      <w:marBottom w:val="0"/>
      <w:divBdr>
        <w:top w:val="none" w:sz="0" w:space="0" w:color="auto"/>
        <w:left w:val="none" w:sz="0" w:space="0" w:color="auto"/>
        <w:bottom w:val="none" w:sz="0" w:space="0" w:color="auto"/>
        <w:right w:val="none" w:sz="0" w:space="0" w:color="auto"/>
      </w:divBdr>
    </w:div>
    <w:div w:id="1820001945">
      <w:bodyDiv w:val="1"/>
      <w:marLeft w:val="0"/>
      <w:marRight w:val="0"/>
      <w:marTop w:val="0"/>
      <w:marBottom w:val="0"/>
      <w:divBdr>
        <w:top w:val="none" w:sz="0" w:space="0" w:color="auto"/>
        <w:left w:val="none" w:sz="0" w:space="0" w:color="auto"/>
        <w:bottom w:val="none" w:sz="0" w:space="0" w:color="auto"/>
        <w:right w:val="none" w:sz="0" w:space="0" w:color="auto"/>
      </w:divBdr>
    </w:div>
    <w:div w:id="1872300726">
      <w:bodyDiv w:val="1"/>
      <w:marLeft w:val="0"/>
      <w:marRight w:val="0"/>
      <w:marTop w:val="0"/>
      <w:marBottom w:val="0"/>
      <w:divBdr>
        <w:top w:val="none" w:sz="0" w:space="0" w:color="auto"/>
        <w:left w:val="none" w:sz="0" w:space="0" w:color="auto"/>
        <w:bottom w:val="none" w:sz="0" w:space="0" w:color="auto"/>
        <w:right w:val="none" w:sz="0" w:space="0" w:color="auto"/>
      </w:divBdr>
    </w:div>
    <w:div w:id="1881478071">
      <w:bodyDiv w:val="1"/>
      <w:marLeft w:val="0"/>
      <w:marRight w:val="0"/>
      <w:marTop w:val="0"/>
      <w:marBottom w:val="0"/>
      <w:divBdr>
        <w:top w:val="none" w:sz="0" w:space="0" w:color="auto"/>
        <w:left w:val="none" w:sz="0" w:space="0" w:color="auto"/>
        <w:bottom w:val="none" w:sz="0" w:space="0" w:color="auto"/>
        <w:right w:val="none" w:sz="0" w:space="0" w:color="auto"/>
      </w:divBdr>
    </w:div>
    <w:div w:id="1883250581">
      <w:bodyDiv w:val="1"/>
      <w:marLeft w:val="0"/>
      <w:marRight w:val="0"/>
      <w:marTop w:val="0"/>
      <w:marBottom w:val="0"/>
      <w:divBdr>
        <w:top w:val="none" w:sz="0" w:space="0" w:color="auto"/>
        <w:left w:val="none" w:sz="0" w:space="0" w:color="auto"/>
        <w:bottom w:val="none" w:sz="0" w:space="0" w:color="auto"/>
        <w:right w:val="none" w:sz="0" w:space="0" w:color="auto"/>
      </w:divBdr>
    </w:div>
    <w:div w:id="1890680713">
      <w:bodyDiv w:val="1"/>
      <w:marLeft w:val="0"/>
      <w:marRight w:val="0"/>
      <w:marTop w:val="0"/>
      <w:marBottom w:val="0"/>
      <w:divBdr>
        <w:top w:val="none" w:sz="0" w:space="0" w:color="auto"/>
        <w:left w:val="none" w:sz="0" w:space="0" w:color="auto"/>
        <w:bottom w:val="none" w:sz="0" w:space="0" w:color="auto"/>
        <w:right w:val="none" w:sz="0" w:space="0" w:color="auto"/>
      </w:divBdr>
    </w:div>
    <w:div w:id="1891183502">
      <w:bodyDiv w:val="1"/>
      <w:marLeft w:val="0"/>
      <w:marRight w:val="0"/>
      <w:marTop w:val="0"/>
      <w:marBottom w:val="0"/>
      <w:divBdr>
        <w:top w:val="none" w:sz="0" w:space="0" w:color="auto"/>
        <w:left w:val="none" w:sz="0" w:space="0" w:color="auto"/>
        <w:bottom w:val="none" w:sz="0" w:space="0" w:color="auto"/>
        <w:right w:val="none" w:sz="0" w:space="0" w:color="auto"/>
      </w:divBdr>
    </w:div>
    <w:div w:id="1904481614">
      <w:bodyDiv w:val="1"/>
      <w:marLeft w:val="0"/>
      <w:marRight w:val="0"/>
      <w:marTop w:val="0"/>
      <w:marBottom w:val="0"/>
      <w:divBdr>
        <w:top w:val="none" w:sz="0" w:space="0" w:color="auto"/>
        <w:left w:val="none" w:sz="0" w:space="0" w:color="auto"/>
        <w:bottom w:val="none" w:sz="0" w:space="0" w:color="auto"/>
        <w:right w:val="none" w:sz="0" w:space="0" w:color="auto"/>
      </w:divBdr>
    </w:div>
    <w:div w:id="1913006455">
      <w:bodyDiv w:val="1"/>
      <w:marLeft w:val="0"/>
      <w:marRight w:val="0"/>
      <w:marTop w:val="0"/>
      <w:marBottom w:val="0"/>
      <w:divBdr>
        <w:top w:val="none" w:sz="0" w:space="0" w:color="auto"/>
        <w:left w:val="none" w:sz="0" w:space="0" w:color="auto"/>
        <w:bottom w:val="none" w:sz="0" w:space="0" w:color="auto"/>
        <w:right w:val="none" w:sz="0" w:space="0" w:color="auto"/>
      </w:divBdr>
    </w:div>
    <w:div w:id="1922134829">
      <w:bodyDiv w:val="1"/>
      <w:marLeft w:val="0"/>
      <w:marRight w:val="0"/>
      <w:marTop w:val="0"/>
      <w:marBottom w:val="0"/>
      <w:divBdr>
        <w:top w:val="none" w:sz="0" w:space="0" w:color="auto"/>
        <w:left w:val="none" w:sz="0" w:space="0" w:color="auto"/>
        <w:bottom w:val="none" w:sz="0" w:space="0" w:color="auto"/>
        <w:right w:val="none" w:sz="0" w:space="0" w:color="auto"/>
      </w:divBdr>
    </w:div>
    <w:div w:id="1926836077">
      <w:bodyDiv w:val="1"/>
      <w:marLeft w:val="0"/>
      <w:marRight w:val="0"/>
      <w:marTop w:val="0"/>
      <w:marBottom w:val="0"/>
      <w:divBdr>
        <w:top w:val="none" w:sz="0" w:space="0" w:color="auto"/>
        <w:left w:val="none" w:sz="0" w:space="0" w:color="auto"/>
        <w:bottom w:val="none" w:sz="0" w:space="0" w:color="auto"/>
        <w:right w:val="none" w:sz="0" w:space="0" w:color="auto"/>
      </w:divBdr>
    </w:div>
    <w:div w:id="1959487237">
      <w:bodyDiv w:val="1"/>
      <w:marLeft w:val="0"/>
      <w:marRight w:val="0"/>
      <w:marTop w:val="0"/>
      <w:marBottom w:val="0"/>
      <w:divBdr>
        <w:top w:val="none" w:sz="0" w:space="0" w:color="auto"/>
        <w:left w:val="none" w:sz="0" w:space="0" w:color="auto"/>
        <w:bottom w:val="none" w:sz="0" w:space="0" w:color="auto"/>
        <w:right w:val="none" w:sz="0" w:space="0" w:color="auto"/>
      </w:divBdr>
    </w:div>
    <w:div w:id="1964577938">
      <w:bodyDiv w:val="1"/>
      <w:marLeft w:val="0"/>
      <w:marRight w:val="0"/>
      <w:marTop w:val="0"/>
      <w:marBottom w:val="0"/>
      <w:divBdr>
        <w:top w:val="none" w:sz="0" w:space="0" w:color="auto"/>
        <w:left w:val="none" w:sz="0" w:space="0" w:color="auto"/>
        <w:bottom w:val="none" w:sz="0" w:space="0" w:color="auto"/>
        <w:right w:val="none" w:sz="0" w:space="0" w:color="auto"/>
      </w:divBdr>
    </w:div>
    <w:div w:id="1969775669">
      <w:bodyDiv w:val="1"/>
      <w:marLeft w:val="0"/>
      <w:marRight w:val="0"/>
      <w:marTop w:val="0"/>
      <w:marBottom w:val="0"/>
      <w:divBdr>
        <w:top w:val="none" w:sz="0" w:space="0" w:color="auto"/>
        <w:left w:val="none" w:sz="0" w:space="0" w:color="auto"/>
        <w:bottom w:val="none" w:sz="0" w:space="0" w:color="auto"/>
        <w:right w:val="none" w:sz="0" w:space="0" w:color="auto"/>
      </w:divBdr>
    </w:div>
    <w:div w:id="2064669121">
      <w:bodyDiv w:val="1"/>
      <w:marLeft w:val="0"/>
      <w:marRight w:val="0"/>
      <w:marTop w:val="0"/>
      <w:marBottom w:val="0"/>
      <w:divBdr>
        <w:top w:val="none" w:sz="0" w:space="0" w:color="auto"/>
        <w:left w:val="none" w:sz="0" w:space="0" w:color="auto"/>
        <w:bottom w:val="none" w:sz="0" w:space="0" w:color="auto"/>
        <w:right w:val="none" w:sz="0" w:space="0" w:color="auto"/>
      </w:divBdr>
    </w:div>
    <w:div w:id="2096397561">
      <w:bodyDiv w:val="1"/>
      <w:marLeft w:val="0"/>
      <w:marRight w:val="0"/>
      <w:marTop w:val="0"/>
      <w:marBottom w:val="0"/>
      <w:divBdr>
        <w:top w:val="none" w:sz="0" w:space="0" w:color="auto"/>
        <w:left w:val="none" w:sz="0" w:space="0" w:color="auto"/>
        <w:bottom w:val="none" w:sz="0" w:space="0" w:color="auto"/>
        <w:right w:val="none" w:sz="0" w:space="0" w:color="auto"/>
      </w:divBdr>
    </w:div>
    <w:div w:id="2102018322">
      <w:bodyDiv w:val="1"/>
      <w:marLeft w:val="0"/>
      <w:marRight w:val="0"/>
      <w:marTop w:val="0"/>
      <w:marBottom w:val="0"/>
      <w:divBdr>
        <w:top w:val="none" w:sz="0" w:space="0" w:color="auto"/>
        <w:left w:val="none" w:sz="0" w:space="0" w:color="auto"/>
        <w:bottom w:val="none" w:sz="0" w:space="0" w:color="auto"/>
        <w:right w:val="none" w:sz="0" w:space="0" w:color="auto"/>
      </w:divBdr>
    </w:div>
    <w:div w:id="21433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ddupree@sb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oly-1\research\Fall%20FTE%20Reports\Fall%202016\fall-2016-enrollment-summary-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US" sz="1200"/>
              <a:t>Fall Quarter FTES by Funding Source</a:t>
            </a:r>
          </a:p>
        </c:rich>
      </c:tx>
      <c:layout/>
      <c:overlay val="0"/>
    </c:title>
    <c:autoTitleDeleted val="0"/>
    <c:plotArea>
      <c:layout/>
      <c:barChart>
        <c:barDir val="col"/>
        <c:grouping val="stacked"/>
        <c:varyColors val="0"/>
        <c:ser>
          <c:idx val="0"/>
          <c:order val="0"/>
          <c:tx>
            <c:strRef>
              <c:f>'General Summary'!$A$3</c:f>
              <c:strCache>
                <c:ptCount val="1"/>
                <c:pt idx="0">
                  <c:v>State-Supported</c:v>
                </c:pt>
              </c:strCache>
            </c:strRef>
          </c:tx>
          <c:spPr>
            <a:solidFill>
              <a:schemeClr val="accent3">
                <a:lumMod val="75000"/>
              </a:schemeClr>
            </a:solidFill>
          </c:spPr>
          <c:invertIfNegative val="0"/>
          <c:cat>
            <c:numRef>
              <c:f>'General Summary'!$C$2:$L$2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'General Summary'!$C$3:$L$3</c:f>
              <c:numCache>
                <c:formatCode>#,##0</c:formatCode>
                <c:ptCount val="10"/>
                <c:pt idx="0">
                  <c:v>124894.7358429891</c:v>
                </c:pt>
                <c:pt idx="1">
                  <c:v>133916.6916379788</c:v>
                </c:pt>
                <c:pt idx="2">
                  <c:v>142935.23734899182</c:v>
                </c:pt>
                <c:pt idx="3">
                  <c:v>144114.27525630768</c:v>
                </c:pt>
                <c:pt idx="4">
                  <c:v>137200.13864598714</c:v>
                </c:pt>
                <c:pt idx="5">
                  <c:v>132559.61160698099</c:v>
                </c:pt>
                <c:pt idx="6">
                  <c:v>128756.52436598099</c:v>
                </c:pt>
                <c:pt idx="7">
                  <c:v>125195.87397098205</c:v>
                </c:pt>
                <c:pt idx="8">
                  <c:v>123518.5</c:v>
                </c:pt>
                <c:pt idx="9">
                  <c:v>119348.085271997</c:v>
                </c:pt>
              </c:numCache>
            </c:numRef>
          </c:val>
        </c:ser>
        <c:ser>
          <c:idx val="1"/>
          <c:order val="1"/>
          <c:tx>
            <c:strRef>
              <c:f>'General Summary'!$A$4</c:f>
              <c:strCache>
                <c:ptCount val="1"/>
                <c:pt idx="0">
                  <c:v>Contract Funded</c:v>
                </c:pt>
              </c:strCache>
            </c:strRef>
          </c:tx>
          <c:spPr>
            <a:solidFill>
              <a:schemeClr val="accent3"/>
            </a:solidFill>
          </c:spPr>
          <c:invertIfNegative val="0"/>
          <c:cat>
            <c:numRef>
              <c:f>'General Summary'!$C$2:$L$2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'General Summary'!$C$4:$L$4</c:f>
              <c:numCache>
                <c:formatCode>#,##0</c:formatCode>
                <c:ptCount val="10"/>
                <c:pt idx="0">
                  <c:v>26535.815993001353</c:v>
                </c:pt>
                <c:pt idx="1">
                  <c:v>30510.566406001526</c:v>
                </c:pt>
                <c:pt idx="2">
                  <c:v>31305.043648001505</c:v>
                </c:pt>
                <c:pt idx="3">
                  <c:v>33002.879989001325</c:v>
                </c:pt>
                <c:pt idx="4">
                  <c:v>29735.572861001703</c:v>
                </c:pt>
                <c:pt idx="5">
                  <c:v>31586.704996002085</c:v>
                </c:pt>
                <c:pt idx="6">
                  <c:v>32322.611394001946</c:v>
                </c:pt>
                <c:pt idx="7">
                  <c:v>34133.169651002216</c:v>
                </c:pt>
                <c:pt idx="8">
                  <c:v>35752.92</c:v>
                </c:pt>
                <c:pt idx="9">
                  <c:v>38547.340287001003</c:v>
                </c:pt>
              </c:numCache>
            </c:numRef>
          </c:val>
        </c:ser>
        <c:ser>
          <c:idx val="2"/>
          <c:order val="2"/>
          <c:tx>
            <c:strRef>
              <c:f>'General Summary'!$A$5</c:f>
              <c:strCache>
                <c:ptCount val="1"/>
                <c:pt idx="0">
                  <c:v>Self-Support</c:v>
                </c:pt>
              </c:strCache>
            </c:strRef>
          </c:tx>
          <c:spPr>
            <a:solidFill>
              <a:schemeClr val="accent3">
                <a:lumMod val="60000"/>
                <a:lumOff val="40000"/>
              </a:schemeClr>
            </a:solidFill>
          </c:spPr>
          <c:invertIfNegative val="0"/>
          <c:cat>
            <c:numRef>
              <c:f>'General Summary'!$C$2:$L$2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'General Summary'!$C$5:$L$5</c:f>
              <c:numCache>
                <c:formatCode>#,##0</c:formatCode>
                <c:ptCount val="10"/>
                <c:pt idx="0">
                  <c:v>4108.1268479999735</c:v>
                </c:pt>
                <c:pt idx="1">
                  <c:v>3810.8402069999966</c:v>
                </c:pt>
                <c:pt idx="2">
                  <c:v>4053.4744019999825</c:v>
                </c:pt>
                <c:pt idx="3">
                  <c:v>4027.9084299999804</c:v>
                </c:pt>
                <c:pt idx="4">
                  <c:v>4500.1083029999736</c:v>
                </c:pt>
                <c:pt idx="5">
                  <c:v>4873.9946949999912</c:v>
                </c:pt>
                <c:pt idx="6">
                  <c:v>5404.0808160000897</c:v>
                </c:pt>
                <c:pt idx="7">
                  <c:v>5604.3336960000615</c:v>
                </c:pt>
                <c:pt idx="8">
                  <c:v>5527.75</c:v>
                </c:pt>
                <c:pt idx="9">
                  <c:v>4456.1690099999896</c:v>
                </c:pt>
              </c:numCache>
            </c:numRef>
          </c:val>
        </c:ser>
        <c:dLbls>
          <c:dLblPos val="ctr"/>
          <c:showLegendKey val="0"/>
          <c:showVal val="1"/>
          <c:showCatName val="0"/>
          <c:showSerName val="0"/>
          <c:showPercent val="0"/>
          <c:showBubbleSize val="0"/>
        </c:dLbls>
        <c:gapWidth val="50"/>
        <c:overlap val="100"/>
        <c:axId val="100260480"/>
        <c:axId val="53096832"/>
      </c:barChart>
      <c:catAx>
        <c:axId val="100260480"/>
        <c:scaling>
          <c:orientation val="minMax"/>
        </c:scaling>
        <c:delete val="0"/>
        <c:axPos val="b"/>
        <c:numFmt formatCode="General" sourceLinked="1"/>
        <c:majorTickMark val="out"/>
        <c:minorTickMark val="none"/>
        <c:tickLblPos val="nextTo"/>
        <c:crossAx val="53096832"/>
        <c:crosses val="autoZero"/>
        <c:auto val="1"/>
        <c:lblAlgn val="ctr"/>
        <c:lblOffset val="100"/>
        <c:noMultiLvlLbl val="0"/>
      </c:catAx>
      <c:valAx>
        <c:axId val="53096832"/>
        <c:scaling>
          <c:orientation val="minMax"/>
        </c:scaling>
        <c:delete val="0"/>
        <c:axPos val="l"/>
        <c:numFmt formatCode="#,##0" sourceLinked="1"/>
        <c:majorTickMark val="out"/>
        <c:minorTickMark val="none"/>
        <c:tickLblPos val="nextTo"/>
        <c:crossAx val="100260480"/>
        <c:crosses val="autoZero"/>
        <c:crossBetween val="between"/>
      </c:valAx>
    </c:plotArea>
    <c:legend>
      <c:legendPos val="r"/>
      <c:layout/>
      <c:overlay val="0"/>
    </c:legend>
    <c:plotVisOnly val="1"/>
    <c:dispBlanksAs val="zero"/>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International Students FTES</a:t>
            </a:r>
          </a:p>
          <a:p>
            <a:pPr>
              <a:defRPr sz="1200"/>
            </a:pPr>
            <a:r>
              <a:rPr lang="en-US" sz="1200"/>
              <a:t>Fall Quarter - by Fund Source </a:t>
            </a:r>
          </a:p>
        </c:rich>
      </c:tx>
      <c:layout/>
      <c:overlay val="0"/>
    </c:title>
    <c:autoTitleDeleted val="0"/>
    <c:plotArea>
      <c:layout/>
      <c:barChart>
        <c:barDir val="col"/>
        <c:grouping val="stacked"/>
        <c:varyColors val="0"/>
        <c:ser>
          <c:idx val="0"/>
          <c:order val="0"/>
          <c:tx>
            <c:strRef>
              <c:f>'Program Summary'!$B$13</c:f>
              <c:strCache>
                <c:ptCount val="1"/>
                <c:pt idx="0">
                  <c:v>Int'l Contract</c:v>
                </c:pt>
              </c:strCache>
            </c:strRef>
          </c:tx>
          <c:spPr>
            <a:solidFill>
              <a:schemeClr val="accent1"/>
            </a:solidFill>
          </c:spPr>
          <c:invertIfNegative val="0"/>
          <c:cat>
            <c:numRef>
              <c:f>'Program Summary'!$E$12:$I$12</c:f>
              <c:numCache>
                <c:formatCode>General</c:formatCode>
                <c:ptCount val="5"/>
                <c:pt idx="0">
                  <c:v>2012</c:v>
                </c:pt>
                <c:pt idx="1">
                  <c:v>2013</c:v>
                </c:pt>
                <c:pt idx="2">
                  <c:v>2014</c:v>
                </c:pt>
                <c:pt idx="3">
                  <c:v>2015</c:v>
                </c:pt>
                <c:pt idx="4">
                  <c:v>2016</c:v>
                </c:pt>
              </c:numCache>
            </c:numRef>
          </c:cat>
          <c:val>
            <c:numRef>
              <c:f>'Program Summary'!$E$13:$I$13</c:f>
              <c:numCache>
                <c:formatCode>#,##0</c:formatCode>
                <c:ptCount val="5"/>
                <c:pt idx="0">
                  <c:v>5579.2338340002798</c:v>
                </c:pt>
                <c:pt idx="1">
                  <c:v>5869.9068600003202</c:v>
                </c:pt>
                <c:pt idx="2">
                  <c:v>6245.1131560002996</c:v>
                </c:pt>
                <c:pt idx="3">
                  <c:v>6445.5397960003402</c:v>
                </c:pt>
                <c:pt idx="4">
                  <c:v>7743.1252910004296</c:v>
                </c:pt>
              </c:numCache>
            </c:numRef>
          </c:val>
        </c:ser>
        <c:ser>
          <c:idx val="1"/>
          <c:order val="1"/>
          <c:tx>
            <c:strRef>
              <c:f>'Program Summary'!$B$14</c:f>
              <c:strCache>
                <c:ptCount val="1"/>
                <c:pt idx="0">
                  <c:v>Other Contract</c:v>
                </c:pt>
              </c:strCache>
            </c:strRef>
          </c:tx>
          <c:spPr>
            <a:solidFill>
              <a:schemeClr val="accent1">
                <a:lumMod val="60000"/>
                <a:lumOff val="40000"/>
              </a:schemeClr>
            </a:solidFill>
          </c:spPr>
          <c:invertIfNegative val="0"/>
          <c:cat>
            <c:numRef>
              <c:f>'Program Summary'!$E$12:$I$12</c:f>
              <c:numCache>
                <c:formatCode>General</c:formatCode>
                <c:ptCount val="5"/>
                <c:pt idx="0">
                  <c:v>2012</c:v>
                </c:pt>
                <c:pt idx="1">
                  <c:v>2013</c:v>
                </c:pt>
                <c:pt idx="2">
                  <c:v>2014</c:v>
                </c:pt>
                <c:pt idx="3">
                  <c:v>2015</c:v>
                </c:pt>
                <c:pt idx="4">
                  <c:v>2016</c:v>
                </c:pt>
              </c:numCache>
            </c:numRef>
          </c:cat>
          <c:val>
            <c:numRef>
              <c:f>'Program Summary'!$E$14:$I$14</c:f>
              <c:numCache>
                <c:formatCode>#,##0</c:formatCode>
                <c:ptCount val="5"/>
                <c:pt idx="0">
                  <c:v>1686.13860399998</c:v>
                </c:pt>
                <c:pt idx="1">
                  <c:v>1924.0850719999801</c:v>
                </c:pt>
                <c:pt idx="2">
                  <c:v>2311.5780249999698</c:v>
                </c:pt>
                <c:pt idx="3">
                  <c:v>2363.13003999996</c:v>
                </c:pt>
                <c:pt idx="4">
                  <c:v>2091.6316339999898</c:v>
                </c:pt>
              </c:numCache>
            </c:numRef>
          </c:val>
        </c:ser>
        <c:ser>
          <c:idx val="2"/>
          <c:order val="2"/>
          <c:tx>
            <c:strRef>
              <c:f>'Program Summary'!$B$15</c:f>
              <c:strCache>
                <c:ptCount val="1"/>
                <c:pt idx="0">
                  <c:v>Self-Support</c:v>
                </c:pt>
              </c:strCache>
            </c:strRef>
          </c:tx>
          <c:spPr>
            <a:solidFill>
              <a:schemeClr val="accent1">
                <a:lumMod val="40000"/>
                <a:lumOff val="60000"/>
              </a:schemeClr>
            </a:solidFill>
          </c:spPr>
          <c:invertIfNegative val="0"/>
          <c:cat>
            <c:numRef>
              <c:f>'Program Summary'!$E$12:$I$12</c:f>
              <c:numCache>
                <c:formatCode>General</c:formatCode>
                <c:ptCount val="5"/>
                <c:pt idx="0">
                  <c:v>2012</c:v>
                </c:pt>
                <c:pt idx="1">
                  <c:v>2013</c:v>
                </c:pt>
                <c:pt idx="2">
                  <c:v>2014</c:v>
                </c:pt>
                <c:pt idx="3">
                  <c:v>2015</c:v>
                </c:pt>
                <c:pt idx="4">
                  <c:v>2016</c:v>
                </c:pt>
              </c:numCache>
            </c:numRef>
          </c:cat>
          <c:val>
            <c:numRef>
              <c:f>'Program Summary'!$E$15:$I$15</c:f>
              <c:numCache>
                <c:formatCode>#,##0</c:formatCode>
                <c:ptCount val="5"/>
                <c:pt idx="0">
                  <c:v>1531.89813</c:v>
                </c:pt>
                <c:pt idx="1">
                  <c:v>1762.4046040000401</c:v>
                </c:pt>
                <c:pt idx="2">
                  <c:v>2033.75772100004</c:v>
                </c:pt>
                <c:pt idx="3">
                  <c:v>1658.79630000002</c:v>
                </c:pt>
                <c:pt idx="4">
                  <c:v>1235.58982100001</c:v>
                </c:pt>
              </c:numCache>
            </c:numRef>
          </c:val>
        </c:ser>
        <c:ser>
          <c:idx val="3"/>
          <c:order val="3"/>
          <c:tx>
            <c:strRef>
              <c:f>'Program Summary'!$B$16</c:f>
              <c:strCache>
                <c:ptCount val="1"/>
                <c:pt idx="0">
                  <c:v>State</c:v>
                </c:pt>
              </c:strCache>
            </c:strRef>
          </c:tx>
          <c:spPr>
            <a:solidFill>
              <a:schemeClr val="accent1">
                <a:lumMod val="20000"/>
                <a:lumOff val="80000"/>
              </a:schemeClr>
            </a:solidFill>
          </c:spPr>
          <c:invertIfNegative val="0"/>
          <c:cat>
            <c:numRef>
              <c:f>'Program Summary'!$E$12:$I$12</c:f>
              <c:numCache>
                <c:formatCode>General</c:formatCode>
                <c:ptCount val="5"/>
                <c:pt idx="0">
                  <c:v>2012</c:v>
                </c:pt>
                <c:pt idx="1">
                  <c:v>2013</c:v>
                </c:pt>
                <c:pt idx="2">
                  <c:v>2014</c:v>
                </c:pt>
                <c:pt idx="3">
                  <c:v>2015</c:v>
                </c:pt>
                <c:pt idx="4">
                  <c:v>2016</c:v>
                </c:pt>
              </c:numCache>
            </c:numRef>
          </c:cat>
          <c:val>
            <c:numRef>
              <c:f>'Program Summary'!$E$16:$I$16</c:f>
              <c:numCache>
                <c:formatCode>#,##0</c:formatCode>
                <c:ptCount val="5"/>
                <c:pt idx="0">
                  <c:v>1989.5310710000001</c:v>
                </c:pt>
                <c:pt idx="1">
                  <c:v>2490.3438259999998</c:v>
                </c:pt>
                <c:pt idx="2">
                  <c:v>2828.5501370000002</c:v>
                </c:pt>
                <c:pt idx="3">
                  <c:v>2796.9411319999999</c:v>
                </c:pt>
                <c:pt idx="4">
                  <c:v>1423.282091</c:v>
                </c:pt>
              </c:numCache>
            </c:numRef>
          </c:val>
        </c:ser>
        <c:dLbls>
          <c:showLegendKey val="0"/>
          <c:showVal val="1"/>
          <c:showCatName val="0"/>
          <c:showSerName val="0"/>
          <c:showPercent val="0"/>
          <c:showBubbleSize val="0"/>
        </c:dLbls>
        <c:gapWidth val="50"/>
        <c:overlap val="100"/>
        <c:axId val="104707584"/>
        <c:axId val="104709120"/>
      </c:barChart>
      <c:catAx>
        <c:axId val="104707584"/>
        <c:scaling>
          <c:orientation val="minMax"/>
        </c:scaling>
        <c:delete val="0"/>
        <c:axPos val="b"/>
        <c:numFmt formatCode="General" sourceLinked="1"/>
        <c:majorTickMark val="out"/>
        <c:minorTickMark val="none"/>
        <c:tickLblPos val="nextTo"/>
        <c:crossAx val="104709120"/>
        <c:crosses val="autoZero"/>
        <c:auto val="1"/>
        <c:lblAlgn val="ctr"/>
        <c:lblOffset val="100"/>
        <c:noMultiLvlLbl val="0"/>
      </c:catAx>
      <c:valAx>
        <c:axId val="104709120"/>
        <c:scaling>
          <c:orientation val="minMax"/>
        </c:scaling>
        <c:delete val="0"/>
        <c:axPos val="l"/>
        <c:numFmt formatCode="#,##0" sourceLinked="1"/>
        <c:majorTickMark val="out"/>
        <c:minorTickMark val="none"/>
        <c:tickLblPos val="nextTo"/>
        <c:crossAx val="104707584"/>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Running Start FTES</a:t>
            </a:r>
          </a:p>
          <a:p>
            <a:pPr>
              <a:defRPr sz="1200"/>
            </a:pPr>
            <a:r>
              <a:rPr lang="en-US" sz="1200"/>
              <a:t>Fall</a:t>
            </a:r>
            <a:r>
              <a:rPr lang="en-US" sz="1200" baseline="0"/>
              <a:t> Quarter - Contract Funded</a:t>
            </a:r>
            <a:endParaRPr lang="en-US" sz="1200"/>
          </a:p>
        </c:rich>
      </c:tx>
      <c:layout/>
      <c:overlay val="0"/>
    </c:title>
    <c:autoTitleDeleted val="0"/>
    <c:plotArea>
      <c:layout/>
      <c:barChart>
        <c:barDir val="col"/>
        <c:grouping val="clustered"/>
        <c:varyColors val="0"/>
        <c:ser>
          <c:idx val="0"/>
          <c:order val="0"/>
          <c:tx>
            <c:strRef>
              <c:f>'Program Summary'!$B$19</c:f>
              <c:strCache>
                <c:ptCount val="1"/>
                <c:pt idx="0">
                  <c:v>Running Start</c:v>
                </c:pt>
              </c:strCache>
            </c:strRef>
          </c:tx>
          <c:invertIfNegative val="0"/>
          <c:cat>
            <c:numRef>
              <c:f>'Program Summary'!$E$18:$I$18</c:f>
              <c:numCache>
                <c:formatCode>General</c:formatCode>
                <c:ptCount val="5"/>
                <c:pt idx="0">
                  <c:v>2012</c:v>
                </c:pt>
                <c:pt idx="1">
                  <c:v>2013</c:v>
                </c:pt>
                <c:pt idx="2">
                  <c:v>2014</c:v>
                </c:pt>
                <c:pt idx="3">
                  <c:v>2015</c:v>
                </c:pt>
                <c:pt idx="4">
                  <c:v>2016</c:v>
                </c:pt>
              </c:numCache>
            </c:numRef>
          </c:cat>
          <c:val>
            <c:numRef>
              <c:f>'Program Summary'!$E$19:$I$19</c:f>
              <c:numCache>
                <c:formatCode>#,##0</c:formatCode>
                <c:ptCount val="5"/>
                <c:pt idx="0">
                  <c:v>13912</c:v>
                </c:pt>
                <c:pt idx="1">
                  <c:v>15142</c:v>
                </c:pt>
                <c:pt idx="2">
                  <c:v>16873</c:v>
                </c:pt>
                <c:pt idx="3">
                  <c:v>18833</c:v>
                </c:pt>
                <c:pt idx="4">
                  <c:v>20807</c:v>
                </c:pt>
              </c:numCache>
            </c:numRef>
          </c:val>
        </c:ser>
        <c:dLbls>
          <c:dLblPos val="outEnd"/>
          <c:showLegendKey val="0"/>
          <c:showVal val="1"/>
          <c:showCatName val="0"/>
          <c:showSerName val="0"/>
          <c:showPercent val="0"/>
          <c:showBubbleSize val="0"/>
        </c:dLbls>
        <c:gapWidth val="50"/>
        <c:axId val="104751104"/>
        <c:axId val="104752640"/>
      </c:barChart>
      <c:catAx>
        <c:axId val="104751104"/>
        <c:scaling>
          <c:orientation val="minMax"/>
        </c:scaling>
        <c:delete val="0"/>
        <c:axPos val="b"/>
        <c:numFmt formatCode="General" sourceLinked="1"/>
        <c:majorTickMark val="out"/>
        <c:minorTickMark val="none"/>
        <c:tickLblPos val="nextTo"/>
        <c:crossAx val="104752640"/>
        <c:crosses val="autoZero"/>
        <c:auto val="1"/>
        <c:lblAlgn val="ctr"/>
        <c:lblOffset val="100"/>
        <c:noMultiLvlLbl val="0"/>
      </c:catAx>
      <c:valAx>
        <c:axId val="104752640"/>
        <c:scaling>
          <c:orientation val="minMax"/>
        </c:scaling>
        <c:delete val="0"/>
        <c:axPos val="l"/>
        <c:numFmt formatCode="#,##0" sourceLinked="1"/>
        <c:majorTickMark val="out"/>
        <c:minorTickMark val="none"/>
        <c:tickLblPos val="nextTo"/>
        <c:crossAx val="104751104"/>
        <c:crosses val="autoZero"/>
        <c:crossBetween val="between"/>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Worker Retraining</a:t>
            </a:r>
            <a:r>
              <a:rPr lang="en-US" sz="1200" baseline="0"/>
              <a:t> FTES</a:t>
            </a:r>
            <a:endParaRPr lang="en-US" sz="1200"/>
          </a:p>
          <a:p>
            <a:pPr>
              <a:defRPr sz="1200"/>
            </a:pPr>
            <a:r>
              <a:rPr lang="en-US" sz="1200"/>
              <a:t>Fall Quarter - State-Supported</a:t>
            </a:r>
          </a:p>
        </c:rich>
      </c:tx>
      <c:layout/>
      <c:overlay val="0"/>
    </c:title>
    <c:autoTitleDeleted val="0"/>
    <c:plotArea>
      <c:layout/>
      <c:barChart>
        <c:barDir val="col"/>
        <c:grouping val="stacked"/>
        <c:varyColors val="0"/>
        <c:ser>
          <c:idx val="0"/>
          <c:order val="0"/>
          <c:tx>
            <c:strRef>
              <c:f>'Program Summary'!$B$21</c:f>
              <c:strCache>
                <c:ptCount val="1"/>
                <c:pt idx="0">
                  <c:v>CTC Worker Retraining</c:v>
                </c:pt>
              </c:strCache>
            </c:strRef>
          </c:tx>
          <c:spPr>
            <a:solidFill>
              <a:schemeClr val="accent1"/>
            </a:solidFill>
          </c:spPr>
          <c:invertIfNegative val="0"/>
          <c:cat>
            <c:numRef>
              <c:f>'Program Summary'!$E$20:$I$20</c:f>
              <c:numCache>
                <c:formatCode>General</c:formatCode>
                <c:ptCount val="5"/>
                <c:pt idx="0">
                  <c:v>2012</c:v>
                </c:pt>
                <c:pt idx="1">
                  <c:v>2013</c:v>
                </c:pt>
                <c:pt idx="2">
                  <c:v>2014</c:v>
                </c:pt>
                <c:pt idx="3">
                  <c:v>2015</c:v>
                </c:pt>
                <c:pt idx="4">
                  <c:v>2016</c:v>
                </c:pt>
              </c:numCache>
            </c:numRef>
          </c:cat>
          <c:val>
            <c:numRef>
              <c:f>'Program Summary'!$E$21:$I$21</c:f>
              <c:numCache>
                <c:formatCode>#,##0</c:formatCode>
                <c:ptCount val="5"/>
                <c:pt idx="0">
                  <c:v>7904</c:v>
                </c:pt>
                <c:pt idx="1">
                  <c:v>6970</c:v>
                </c:pt>
                <c:pt idx="2">
                  <c:v>5449</c:v>
                </c:pt>
                <c:pt idx="3">
                  <c:v>5909</c:v>
                </c:pt>
                <c:pt idx="4">
                  <c:v>6173</c:v>
                </c:pt>
              </c:numCache>
            </c:numRef>
          </c:val>
        </c:ser>
        <c:ser>
          <c:idx val="1"/>
          <c:order val="1"/>
          <c:tx>
            <c:strRef>
              <c:f>'Program Summary'!$B$22</c:f>
              <c:strCache>
                <c:ptCount val="1"/>
                <c:pt idx="0">
                  <c:v>Private Career Colleges</c:v>
                </c:pt>
              </c:strCache>
            </c:strRef>
          </c:tx>
          <c:spPr>
            <a:solidFill>
              <a:schemeClr val="accent1">
                <a:lumMod val="60000"/>
                <a:lumOff val="40000"/>
              </a:schemeClr>
            </a:solidFill>
          </c:spPr>
          <c:invertIfNegative val="0"/>
          <c:cat>
            <c:numRef>
              <c:f>'Program Summary'!$E$20:$I$20</c:f>
              <c:numCache>
                <c:formatCode>General</c:formatCode>
                <c:ptCount val="5"/>
                <c:pt idx="0">
                  <c:v>2012</c:v>
                </c:pt>
                <c:pt idx="1">
                  <c:v>2013</c:v>
                </c:pt>
                <c:pt idx="2">
                  <c:v>2014</c:v>
                </c:pt>
                <c:pt idx="3">
                  <c:v>2015</c:v>
                </c:pt>
                <c:pt idx="4">
                  <c:v>2016</c:v>
                </c:pt>
              </c:numCache>
            </c:numRef>
          </c:cat>
          <c:val>
            <c:numRef>
              <c:f>'Program Summary'!$E$22:$I$22</c:f>
              <c:numCache>
                <c:formatCode>#,##0</c:formatCode>
                <c:ptCount val="5"/>
                <c:pt idx="0">
                  <c:v>384</c:v>
                </c:pt>
                <c:pt idx="1">
                  <c:v>248</c:v>
                </c:pt>
                <c:pt idx="2">
                  <c:v>216</c:v>
                </c:pt>
                <c:pt idx="3">
                  <c:v>213</c:v>
                </c:pt>
                <c:pt idx="4">
                  <c:v>211</c:v>
                </c:pt>
              </c:numCache>
            </c:numRef>
          </c:val>
        </c:ser>
        <c:dLbls>
          <c:showLegendKey val="0"/>
          <c:showVal val="1"/>
          <c:showCatName val="0"/>
          <c:showSerName val="0"/>
          <c:showPercent val="0"/>
          <c:showBubbleSize val="0"/>
        </c:dLbls>
        <c:gapWidth val="50"/>
        <c:overlap val="100"/>
        <c:axId val="104783232"/>
        <c:axId val="104793216"/>
      </c:barChart>
      <c:catAx>
        <c:axId val="104783232"/>
        <c:scaling>
          <c:orientation val="minMax"/>
        </c:scaling>
        <c:delete val="0"/>
        <c:axPos val="b"/>
        <c:numFmt formatCode="General" sourceLinked="1"/>
        <c:majorTickMark val="out"/>
        <c:minorTickMark val="none"/>
        <c:tickLblPos val="nextTo"/>
        <c:crossAx val="104793216"/>
        <c:crosses val="autoZero"/>
        <c:auto val="1"/>
        <c:lblAlgn val="ctr"/>
        <c:lblOffset val="100"/>
        <c:noMultiLvlLbl val="0"/>
      </c:catAx>
      <c:valAx>
        <c:axId val="104793216"/>
        <c:scaling>
          <c:orientation val="minMax"/>
        </c:scaling>
        <c:delete val="0"/>
        <c:axPos val="l"/>
        <c:numFmt formatCode="#,##0" sourceLinked="1"/>
        <c:majorTickMark val="out"/>
        <c:minorTickMark val="none"/>
        <c:tickLblPos val="nextTo"/>
        <c:crossAx val="10478323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WorkFirst FTES</a:t>
            </a:r>
          </a:p>
          <a:p>
            <a:pPr>
              <a:defRPr sz="1200"/>
            </a:pPr>
            <a:r>
              <a:rPr lang="en-US" sz="1200"/>
              <a:t>Fall</a:t>
            </a:r>
            <a:r>
              <a:rPr lang="en-US" sz="1200" baseline="0"/>
              <a:t> Quarter - All Funding Sources</a:t>
            </a:r>
            <a:endParaRPr lang="en-US" sz="1200"/>
          </a:p>
        </c:rich>
      </c:tx>
      <c:layout/>
      <c:overlay val="0"/>
    </c:title>
    <c:autoTitleDeleted val="0"/>
    <c:plotArea>
      <c:layout/>
      <c:barChart>
        <c:barDir val="col"/>
        <c:grouping val="clustered"/>
        <c:varyColors val="0"/>
        <c:ser>
          <c:idx val="0"/>
          <c:order val="0"/>
          <c:tx>
            <c:strRef>
              <c:f>'Program Summary'!$B$25</c:f>
              <c:strCache>
                <c:ptCount val="1"/>
                <c:pt idx="0">
                  <c:v>WorkFirst</c:v>
                </c:pt>
              </c:strCache>
            </c:strRef>
          </c:tx>
          <c:invertIfNegative val="0"/>
          <c:cat>
            <c:numRef>
              <c:f>'Program Summary'!$E$24:$I$24</c:f>
              <c:numCache>
                <c:formatCode>General</c:formatCode>
                <c:ptCount val="5"/>
                <c:pt idx="0">
                  <c:v>2012</c:v>
                </c:pt>
                <c:pt idx="1">
                  <c:v>2013</c:v>
                </c:pt>
                <c:pt idx="2">
                  <c:v>2014</c:v>
                </c:pt>
                <c:pt idx="3">
                  <c:v>2015</c:v>
                </c:pt>
                <c:pt idx="4">
                  <c:v>2016</c:v>
                </c:pt>
              </c:numCache>
            </c:numRef>
          </c:cat>
          <c:val>
            <c:numRef>
              <c:f>'Program Summary'!$E$25:$I$25</c:f>
              <c:numCache>
                <c:formatCode>#,##0</c:formatCode>
                <c:ptCount val="5"/>
                <c:pt idx="0">
                  <c:v>3866</c:v>
                </c:pt>
                <c:pt idx="1">
                  <c:v>3538</c:v>
                </c:pt>
                <c:pt idx="2">
                  <c:v>2859</c:v>
                </c:pt>
                <c:pt idx="3">
                  <c:v>2423</c:v>
                </c:pt>
                <c:pt idx="4">
                  <c:v>2079</c:v>
                </c:pt>
              </c:numCache>
            </c:numRef>
          </c:val>
        </c:ser>
        <c:dLbls>
          <c:dLblPos val="outEnd"/>
          <c:showLegendKey val="0"/>
          <c:showVal val="1"/>
          <c:showCatName val="0"/>
          <c:showSerName val="0"/>
          <c:showPercent val="0"/>
          <c:showBubbleSize val="0"/>
        </c:dLbls>
        <c:gapWidth val="50"/>
        <c:axId val="104826752"/>
        <c:axId val="104828288"/>
      </c:barChart>
      <c:catAx>
        <c:axId val="104826752"/>
        <c:scaling>
          <c:orientation val="minMax"/>
        </c:scaling>
        <c:delete val="0"/>
        <c:axPos val="b"/>
        <c:numFmt formatCode="General" sourceLinked="1"/>
        <c:majorTickMark val="out"/>
        <c:minorTickMark val="none"/>
        <c:tickLblPos val="nextTo"/>
        <c:crossAx val="104828288"/>
        <c:crosses val="autoZero"/>
        <c:auto val="1"/>
        <c:lblAlgn val="ctr"/>
        <c:lblOffset val="100"/>
        <c:noMultiLvlLbl val="0"/>
      </c:catAx>
      <c:valAx>
        <c:axId val="104828288"/>
        <c:scaling>
          <c:orientation val="minMax"/>
        </c:scaling>
        <c:delete val="0"/>
        <c:axPos val="l"/>
        <c:numFmt formatCode="#,##0" sourceLinked="1"/>
        <c:majorTickMark val="out"/>
        <c:minorTickMark val="none"/>
        <c:tickLblPos val="nextTo"/>
        <c:crossAx val="104826752"/>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200" b="1" i="0" baseline="0">
                <a:effectLst/>
              </a:rPr>
              <a:t>Fall Quarter FTES by Course Intent</a:t>
            </a:r>
            <a:endParaRPr lang="en-US" sz="1000">
              <a:effectLst/>
            </a:endParaRPr>
          </a:p>
        </c:rich>
      </c:tx>
      <c:layout/>
      <c:overlay val="0"/>
    </c:title>
    <c:autoTitleDeleted val="0"/>
    <c:plotArea>
      <c:layout>
        <c:manualLayout>
          <c:layoutTarget val="inner"/>
          <c:xMode val="edge"/>
          <c:yMode val="edge"/>
          <c:x val="7.2909911996294582E-2"/>
          <c:y val="0.13802958223972001"/>
          <c:w val="0.81718079357727347"/>
          <c:h val="0.79234662073490814"/>
        </c:manualLayout>
      </c:layout>
      <c:barChart>
        <c:barDir val="col"/>
        <c:grouping val="clustered"/>
        <c:varyColors val="0"/>
        <c:ser>
          <c:idx val="0"/>
          <c:order val="0"/>
          <c:tx>
            <c:strRef>
              <c:f>'General Summary'!$H$14</c:f>
              <c:strCache>
                <c:ptCount val="1"/>
                <c:pt idx="0">
                  <c:v>2012</c:v>
                </c:pt>
              </c:strCache>
            </c:strRef>
          </c:tx>
          <c:spPr>
            <a:solidFill>
              <a:schemeClr val="accent1">
                <a:lumMod val="20000"/>
                <a:lumOff val="80000"/>
              </a:schemeClr>
            </a:solidFill>
          </c:spPr>
          <c:invertIfNegative val="0"/>
          <c:dLbls>
            <c:dLblPos val="outEnd"/>
            <c:showLegendKey val="0"/>
            <c:showVal val="1"/>
            <c:showCatName val="0"/>
            <c:showSerName val="0"/>
            <c:showPercent val="0"/>
            <c:showBubbleSize val="0"/>
            <c:showLeaderLines val="0"/>
          </c:dLbls>
          <c:cat>
            <c:strRef>
              <c:f>'General Summary'!$A$15:$A$18</c:f>
              <c:strCache>
                <c:ptCount val="4"/>
                <c:pt idx="0">
                  <c:v>Academic</c:v>
                </c:pt>
                <c:pt idx="1">
                  <c:v>Workforce</c:v>
                </c:pt>
                <c:pt idx="2">
                  <c:v>Basic Education</c:v>
                </c:pt>
                <c:pt idx="3">
                  <c:v>Pre-College</c:v>
                </c:pt>
              </c:strCache>
            </c:strRef>
          </c:cat>
          <c:val>
            <c:numRef>
              <c:f>'General Summary'!$H$15:$H$18</c:f>
              <c:numCache>
                <c:formatCode>#,##0</c:formatCode>
                <c:ptCount val="4"/>
                <c:pt idx="0">
                  <c:v>77857.97756599859</c:v>
                </c:pt>
                <c:pt idx="1">
                  <c:v>51919.61769500246</c:v>
                </c:pt>
                <c:pt idx="2">
                  <c:v>19625.82136500024</c:v>
                </c:pt>
                <c:pt idx="3">
                  <c:v>17722.028226000493</c:v>
                </c:pt>
              </c:numCache>
            </c:numRef>
          </c:val>
        </c:ser>
        <c:ser>
          <c:idx val="1"/>
          <c:order val="1"/>
          <c:tx>
            <c:strRef>
              <c:f>'General Summary'!$I$14</c:f>
              <c:strCache>
                <c:ptCount val="1"/>
                <c:pt idx="0">
                  <c:v>2013</c:v>
                </c:pt>
              </c:strCache>
            </c:strRef>
          </c:tx>
          <c:spPr>
            <a:solidFill>
              <a:schemeClr val="accent1">
                <a:lumMod val="40000"/>
                <a:lumOff val="60000"/>
              </a:schemeClr>
            </a:solidFill>
          </c:spPr>
          <c:invertIfNegative val="0"/>
          <c:dLbls>
            <c:delete val="1"/>
          </c:dLbls>
          <c:cat>
            <c:strRef>
              <c:f>'General Summary'!$A$15:$A$18</c:f>
              <c:strCache>
                <c:ptCount val="4"/>
                <c:pt idx="0">
                  <c:v>Academic</c:v>
                </c:pt>
                <c:pt idx="1">
                  <c:v>Workforce</c:v>
                </c:pt>
                <c:pt idx="2">
                  <c:v>Basic Education</c:v>
                </c:pt>
                <c:pt idx="3">
                  <c:v>Pre-College</c:v>
                </c:pt>
              </c:strCache>
            </c:strRef>
          </c:cat>
          <c:val>
            <c:numRef>
              <c:f>'General Summary'!$I$15:$I$18</c:f>
              <c:numCache>
                <c:formatCode>#,##0</c:formatCode>
                <c:ptCount val="4"/>
                <c:pt idx="0">
                  <c:v>78219.698112992017</c:v>
                </c:pt>
                <c:pt idx="1">
                  <c:v>50124.425840001924</c:v>
                </c:pt>
                <c:pt idx="2">
                  <c:v>19179.517735000038</c:v>
                </c:pt>
                <c:pt idx="3">
                  <c:v>16999.641797000557</c:v>
                </c:pt>
              </c:numCache>
            </c:numRef>
          </c:val>
        </c:ser>
        <c:ser>
          <c:idx val="2"/>
          <c:order val="2"/>
          <c:tx>
            <c:strRef>
              <c:f>'General Summary'!$J$14</c:f>
              <c:strCache>
                <c:ptCount val="1"/>
                <c:pt idx="0">
                  <c:v>2014</c:v>
                </c:pt>
              </c:strCache>
            </c:strRef>
          </c:tx>
          <c:spPr>
            <a:solidFill>
              <a:schemeClr val="accent1">
                <a:lumMod val="60000"/>
                <a:lumOff val="40000"/>
              </a:schemeClr>
            </a:solidFill>
          </c:spPr>
          <c:invertIfNegative val="0"/>
          <c:dLbls>
            <c:delete val="1"/>
          </c:dLbls>
          <c:cat>
            <c:strRef>
              <c:f>'General Summary'!$A$15:$A$18</c:f>
              <c:strCache>
                <c:ptCount val="4"/>
                <c:pt idx="0">
                  <c:v>Academic</c:v>
                </c:pt>
                <c:pt idx="1">
                  <c:v>Workforce</c:v>
                </c:pt>
                <c:pt idx="2">
                  <c:v>Basic Education</c:v>
                </c:pt>
                <c:pt idx="3">
                  <c:v>Pre-College</c:v>
                </c:pt>
              </c:strCache>
            </c:strRef>
          </c:cat>
          <c:val>
            <c:numRef>
              <c:f>'General Summary'!$J$15:$J$18</c:f>
              <c:numCache>
                <c:formatCode>#,##0</c:formatCode>
                <c:ptCount val="4"/>
                <c:pt idx="0">
                  <c:v>78508.871674997223</c:v>
                </c:pt>
                <c:pt idx="1">
                  <c:v>48404.826821001472</c:v>
                </c:pt>
                <c:pt idx="2">
                  <c:v>19379.463908000045</c:v>
                </c:pt>
                <c:pt idx="3">
                  <c:v>16392.709239000451</c:v>
                </c:pt>
              </c:numCache>
            </c:numRef>
          </c:val>
        </c:ser>
        <c:ser>
          <c:idx val="3"/>
          <c:order val="3"/>
          <c:tx>
            <c:strRef>
              <c:f>'General Summary'!$K$14</c:f>
              <c:strCache>
                <c:ptCount val="1"/>
                <c:pt idx="0">
                  <c:v>2015</c:v>
                </c:pt>
              </c:strCache>
            </c:strRef>
          </c:tx>
          <c:spPr>
            <a:solidFill>
              <a:schemeClr val="accent1"/>
            </a:solidFill>
          </c:spPr>
          <c:invertIfNegative val="0"/>
          <c:dLbls>
            <c:delete val="1"/>
          </c:dLbls>
          <c:cat>
            <c:strRef>
              <c:f>'General Summary'!$A$15:$A$18</c:f>
              <c:strCache>
                <c:ptCount val="4"/>
                <c:pt idx="0">
                  <c:v>Academic</c:v>
                </c:pt>
                <c:pt idx="1">
                  <c:v>Workforce</c:v>
                </c:pt>
                <c:pt idx="2">
                  <c:v>Basic Education</c:v>
                </c:pt>
                <c:pt idx="3">
                  <c:v>Pre-College</c:v>
                </c:pt>
              </c:strCache>
            </c:strRef>
          </c:cat>
          <c:val>
            <c:numRef>
              <c:f>'General Summary'!$K$15:$K$18</c:f>
              <c:numCache>
                <c:formatCode>#,##0</c:formatCode>
                <c:ptCount val="4"/>
                <c:pt idx="0">
                  <c:v>79989.09</c:v>
                </c:pt>
                <c:pt idx="1">
                  <c:v>46799.6</c:v>
                </c:pt>
                <c:pt idx="2">
                  <c:v>20158.12</c:v>
                </c:pt>
                <c:pt idx="3">
                  <c:v>15353.37</c:v>
                </c:pt>
              </c:numCache>
            </c:numRef>
          </c:val>
        </c:ser>
        <c:ser>
          <c:idx val="4"/>
          <c:order val="4"/>
          <c:tx>
            <c:strRef>
              <c:f>'General Summary'!$L$14</c:f>
              <c:strCache>
                <c:ptCount val="1"/>
                <c:pt idx="0">
                  <c:v>2016</c:v>
                </c:pt>
              </c:strCache>
            </c:strRef>
          </c:tx>
          <c:spPr>
            <a:solidFill>
              <a:schemeClr val="accent1">
                <a:lumMod val="75000"/>
              </a:schemeClr>
            </a:solidFill>
          </c:spPr>
          <c:invertIfNegative val="0"/>
          <c:dLbls>
            <c:dLblPos val="outEnd"/>
            <c:showLegendKey val="0"/>
            <c:showVal val="1"/>
            <c:showCatName val="0"/>
            <c:showSerName val="0"/>
            <c:showPercent val="0"/>
            <c:showBubbleSize val="0"/>
            <c:showLeaderLines val="0"/>
          </c:dLbls>
          <c:cat>
            <c:strRef>
              <c:f>'General Summary'!$A$15:$A$18</c:f>
              <c:strCache>
                <c:ptCount val="4"/>
                <c:pt idx="0">
                  <c:v>Academic</c:v>
                </c:pt>
                <c:pt idx="1">
                  <c:v>Workforce</c:v>
                </c:pt>
                <c:pt idx="2">
                  <c:v>Basic Education</c:v>
                </c:pt>
                <c:pt idx="3">
                  <c:v>Pre-College</c:v>
                </c:pt>
              </c:strCache>
            </c:strRef>
          </c:cat>
          <c:val>
            <c:numRef>
              <c:f>'General Summary'!$L$15:$L$18</c:f>
              <c:numCache>
                <c:formatCode>#,##0</c:formatCode>
                <c:ptCount val="4"/>
                <c:pt idx="0">
                  <c:v>79989.215812992901</c:v>
                </c:pt>
                <c:pt idx="1">
                  <c:v>46929.570347001703</c:v>
                </c:pt>
                <c:pt idx="2">
                  <c:v>19377.344962000101</c:v>
                </c:pt>
                <c:pt idx="3">
                  <c:v>14018.6985510002</c:v>
                </c:pt>
              </c:numCache>
            </c:numRef>
          </c:val>
        </c:ser>
        <c:dLbls>
          <c:dLblPos val="ctr"/>
          <c:showLegendKey val="0"/>
          <c:showVal val="1"/>
          <c:showCatName val="0"/>
          <c:showSerName val="0"/>
          <c:showPercent val="0"/>
          <c:showBubbleSize val="0"/>
        </c:dLbls>
        <c:gapWidth val="50"/>
        <c:axId val="53146368"/>
        <c:axId val="53147904"/>
      </c:barChart>
      <c:catAx>
        <c:axId val="53146368"/>
        <c:scaling>
          <c:orientation val="minMax"/>
        </c:scaling>
        <c:delete val="0"/>
        <c:axPos val="b"/>
        <c:majorTickMark val="out"/>
        <c:minorTickMark val="none"/>
        <c:tickLblPos val="nextTo"/>
        <c:crossAx val="53147904"/>
        <c:crosses val="autoZero"/>
        <c:auto val="1"/>
        <c:lblAlgn val="ctr"/>
        <c:lblOffset val="100"/>
        <c:noMultiLvlLbl val="0"/>
      </c:catAx>
      <c:valAx>
        <c:axId val="53147904"/>
        <c:scaling>
          <c:orientation val="minMax"/>
          <c:max val="90000"/>
        </c:scaling>
        <c:delete val="0"/>
        <c:axPos val="l"/>
        <c:numFmt formatCode="#,##0" sourceLinked="1"/>
        <c:majorTickMark val="out"/>
        <c:minorTickMark val="none"/>
        <c:tickLblPos val="nextTo"/>
        <c:crossAx val="53146368"/>
        <c:crosses val="autoZero"/>
        <c:crossBetween val="between"/>
      </c:valAx>
      <c:spPr>
        <a:noFill/>
      </c:spPr>
    </c:plotArea>
    <c:legend>
      <c:legendPos val="r"/>
      <c:layout>
        <c:manualLayout>
          <c:xMode val="edge"/>
          <c:yMode val="edge"/>
          <c:x val="0.89270393459623076"/>
          <c:y val="0.21047818241469815"/>
          <c:w val="8.5727979916548042E-2"/>
          <c:h val="0.44105533683289588"/>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US" sz="1200"/>
              <a:t>Fall Quarter Headcount by Funding Source</a:t>
            </a:r>
          </a:p>
        </c:rich>
      </c:tx>
      <c:layout/>
      <c:overlay val="0"/>
    </c:title>
    <c:autoTitleDeleted val="0"/>
    <c:plotArea>
      <c:layout/>
      <c:barChart>
        <c:barDir val="col"/>
        <c:grouping val="stacked"/>
        <c:varyColors val="0"/>
        <c:ser>
          <c:idx val="0"/>
          <c:order val="0"/>
          <c:tx>
            <c:strRef>
              <c:f>'General Summary'!$A$31</c:f>
              <c:strCache>
                <c:ptCount val="1"/>
                <c:pt idx="0">
                  <c:v>State-Supported</c:v>
                </c:pt>
              </c:strCache>
            </c:strRef>
          </c:tx>
          <c:spPr>
            <a:solidFill>
              <a:schemeClr val="accent3">
                <a:lumMod val="75000"/>
              </a:schemeClr>
            </a:solidFill>
          </c:spPr>
          <c:invertIfNegative val="0"/>
          <c:cat>
            <c:numRef>
              <c:f>'General Summary'!$C$30:$L$30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'General Summary'!$C$31:$L$31</c:f>
              <c:numCache>
                <c:formatCode>#,##0</c:formatCode>
                <c:ptCount val="10"/>
                <c:pt idx="0">
                  <c:v>188925</c:v>
                </c:pt>
                <c:pt idx="1">
                  <c:v>196788</c:v>
                </c:pt>
                <c:pt idx="2">
                  <c:v>202201</c:v>
                </c:pt>
                <c:pt idx="3">
                  <c:v>202074</c:v>
                </c:pt>
                <c:pt idx="4">
                  <c:v>189522</c:v>
                </c:pt>
                <c:pt idx="5">
                  <c:v>180499</c:v>
                </c:pt>
                <c:pt idx="6">
                  <c:v>175639</c:v>
                </c:pt>
                <c:pt idx="7">
                  <c:v>171008</c:v>
                </c:pt>
                <c:pt idx="8">
                  <c:v>170403</c:v>
                </c:pt>
                <c:pt idx="9">
                  <c:v>165115</c:v>
                </c:pt>
              </c:numCache>
            </c:numRef>
          </c:val>
        </c:ser>
        <c:ser>
          <c:idx val="1"/>
          <c:order val="1"/>
          <c:tx>
            <c:strRef>
              <c:f>'General Summary'!$A$32</c:f>
              <c:strCache>
                <c:ptCount val="1"/>
                <c:pt idx="0">
                  <c:v>Contract Funded</c:v>
                </c:pt>
              </c:strCache>
            </c:strRef>
          </c:tx>
          <c:spPr>
            <a:solidFill>
              <a:schemeClr val="accent3"/>
            </a:solidFill>
          </c:spPr>
          <c:invertIfNegative val="0"/>
          <c:cat>
            <c:numRef>
              <c:f>'General Summary'!$C$30:$L$30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'General Summary'!$C$32:$L$32</c:f>
              <c:numCache>
                <c:formatCode>#,##0</c:formatCode>
                <c:ptCount val="10"/>
                <c:pt idx="0">
                  <c:v>37193</c:v>
                </c:pt>
                <c:pt idx="1">
                  <c:v>40955</c:v>
                </c:pt>
                <c:pt idx="2">
                  <c:v>42095</c:v>
                </c:pt>
                <c:pt idx="3">
                  <c:v>45399</c:v>
                </c:pt>
                <c:pt idx="4">
                  <c:v>38762</c:v>
                </c:pt>
                <c:pt idx="5">
                  <c:v>38526</c:v>
                </c:pt>
                <c:pt idx="6">
                  <c:v>38861</c:v>
                </c:pt>
                <c:pt idx="7">
                  <c:v>40419</c:v>
                </c:pt>
                <c:pt idx="8">
                  <c:v>41658</c:v>
                </c:pt>
                <c:pt idx="9">
                  <c:v>45202</c:v>
                </c:pt>
              </c:numCache>
            </c:numRef>
          </c:val>
        </c:ser>
        <c:ser>
          <c:idx val="2"/>
          <c:order val="2"/>
          <c:tx>
            <c:strRef>
              <c:f>'General Summary'!$A$33</c:f>
              <c:strCache>
                <c:ptCount val="1"/>
                <c:pt idx="0">
                  <c:v>Self-Support</c:v>
                </c:pt>
              </c:strCache>
            </c:strRef>
          </c:tx>
          <c:spPr>
            <a:solidFill>
              <a:schemeClr val="accent3">
                <a:lumMod val="60000"/>
                <a:lumOff val="40000"/>
              </a:schemeClr>
            </a:solidFill>
          </c:spPr>
          <c:invertIfNegative val="0"/>
          <c:cat>
            <c:numRef>
              <c:f>'General Summary'!$C$30:$L$30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'General Summary'!$C$33:$L$33</c:f>
              <c:numCache>
                <c:formatCode>#,##0</c:formatCode>
                <c:ptCount val="10"/>
                <c:pt idx="0">
                  <c:v>27699</c:v>
                </c:pt>
                <c:pt idx="1">
                  <c:v>26369</c:v>
                </c:pt>
                <c:pt idx="2">
                  <c:v>22363</c:v>
                </c:pt>
                <c:pt idx="3">
                  <c:v>20532</c:v>
                </c:pt>
                <c:pt idx="4">
                  <c:v>18833</c:v>
                </c:pt>
                <c:pt idx="5">
                  <c:v>19251</c:v>
                </c:pt>
                <c:pt idx="6">
                  <c:v>19947</c:v>
                </c:pt>
                <c:pt idx="7">
                  <c:v>19950</c:v>
                </c:pt>
                <c:pt idx="8">
                  <c:v>20300</c:v>
                </c:pt>
                <c:pt idx="9">
                  <c:v>17556</c:v>
                </c:pt>
              </c:numCache>
            </c:numRef>
          </c:val>
        </c:ser>
        <c:dLbls>
          <c:dLblPos val="ctr"/>
          <c:showLegendKey val="0"/>
          <c:showVal val="1"/>
          <c:showCatName val="0"/>
          <c:showSerName val="0"/>
          <c:showPercent val="0"/>
          <c:showBubbleSize val="0"/>
        </c:dLbls>
        <c:gapWidth val="50"/>
        <c:overlap val="100"/>
        <c:axId val="100554240"/>
        <c:axId val="100555776"/>
      </c:barChart>
      <c:catAx>
        <c:axId val="100554240"/>
        <c:scaling>
          <c:orientation val="minMax"/>
        </c:scaling>
        <c:delete val="0"/>
        <c:axPos val="b"/>
        <c:numFmt formatCode="General" sourceLinked="1"/>
        <c:majorTickMark val="out"/>
        <c:minorTickMark val="none"/>
        <c:tickLblPos val="nextTo"/>
        <c:crossAx val="100555776"/>
        <c:crosses val="autoZero"/>
        <c:auto val="1"/>
        <c:lblAlgn val="ctr"/>
        <c:lblOffset val="100"/>
        <c:noMultiLvlLbl val="0"/>
      </c:catAx>
      <c:valAx>
        <c:axId val="100555776"/>
        <c:scaling>
          <c:orientation val="minMax"/>
        </c:scaling>
        <c:delete val="0"/>
        <c:axPos val="l"/>
        <c:numFmt formatCode="#,##0" sourceLinked="1"/>
        <c:majorTickMark val="out"/>
        <c:minorTickMark val="none"/>
        <c:tickLblPos val="nextTo"/>
        <c:crossAx val="100554240"/>
        <c:crosses val="autoZero"/>
        <c:crossBetween val="between"/>
      </c:valAx>
    </c:plotArea>
    <c:legend>
      <c:legendPos val="r"/>
      <c:layout/>
      <c:overlay val="0"/>
    </c:legend>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 Change in Headcount by Age:</a:t>
            </a:r>
            <a:r>
              <a:rPr lang="en-US" sz="1200" baseline="0"/>
              <a:t> </a:t>
            </a:r>
            <a:r>
              <a:rPr lang="en-US" sz="1200"/>
              <a:t>Fall 2015 to Fall 2016</a:t>
            </a:r>
          </a:p>
        </c:rich>
      </c:tx>
      <c:layout/>
      <c:overlay val="0"/>
    </c:title>
    <c:autoTitleDeleted val="0"/>
    <c:plotArea>
      <c:layout>
        <c:manualLayout>
          <c:layoutTarget val="inner"/>
          <c:xMode val="edge"/>
          <c:yMode val="edge"/>
          <c:x val="2.7822364901016586E-2"/>
          <c:y val="0.17003718285214348"/>
          <c:w val="0.9386457207554938"/>
          <c:h val="0.71856474190726149"/>
        </c:manualLayout>
      </c:layout>
      <c:barChart>
        <c:barDir val="col"/>
        <c:grouping val="clustered"/>
        <c:varyColors val="0"/>
        <c:ser>
          <c:idx val="0"/>
          <c:order val="0"/>
          <c:tx>
            <c:strRef>
              <c:f>'General Summary'!$O$42</c:f>
              <c:strCache>
                <c:ptCount val="1"/>
              </c:strCache>
            </c:strRef>
          </c:tx>
          <c:spPr>
            <a:solidFill>
              <a:srgbClr val="68953B"/>
            </a:solidFill>
          </c:spPr>
          <c:invertIfNegative val="0"/>
          <c:dLbls>
            <c:dLbl>
              <c:idx val="7"/>
              <c:layout>
                <c:manualLayout>
                  <c:x val="0"/>
                  <c:y val="3.3333770778652669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'General Summary'!$A$43:$A$53</c:f>
              <c:strCache>
                <c:ptCount val="11"/>
                <c:pt idx="0">
                  <c:v>Under 20</c:v>
                </c:pt>
                <c:pt idx="1">
                  <c:v>20-24</c:v>
                </c:pt>
                <c:pt idx="2">
                  <c:v>25-29</c:v>
                </c:pt>
                <c:pt idx="3">
                  <c:v>30-34</c:v>
                </c:pt>
                <c:pt idx="4">
                  <c:v>35-39</c:v>
                </c:pt>
                <c:pt idx="5">
                  <c:v>40-44</c:v>
                </c:pt>
                <c:pt idx="6">
                  <c:v>45-49</c:v>
                </c:pt>
                <c:pt idx="7">
                  <c:v>50-54</c:v>
                </c:pt>
                <c:pt idx="8">
                  <c:v>55-59</c:v>
                </c:pt>
                <c:pt idx="9">
                  <c:v>60-64</c:v>
                </c:pt>
                <c:pt idx="10">
                  <c:v>65 or Above</c:v>
                </c:pt>
              </c:strCache>
            </c:strRef>
          </c:cat>
          <c:val>
            <c:numRef>
              <c:f>'General Summary'!$O$43:$O$53</c:f>
              <c:numCache>
                <c:formatCode>0%</c:formatCode>
                <c:ptCount val="11"/>
                <c:pt idx="0">
                  <c:v>2.3971782881401917E-2</c:v>
                </c:pt>
                <c:pt idx="1">
                  <c:v>-3.6788691554911199E-2</c:v>
                </c:pt>
                <c:pt idx="2">
                  <c:v>-1.3256484149855908E-2</c:v>
                </c:pt>
                <c:pt idx="3">
                  <c:v>-3.3093714385903396E-2</c:v>
                </c:pt>
                <c:pt idx="4">
                  <c:v>-1.22233033325225E-2</c:v>
                </c:pt>
                <c:pt idx="5">
                  <c:v>-5.1960444136016658E-2</c:v>
                </c:pt>
                <c:pt idx="6">
                  <c:v>-5.537532162434277E-2</c:v>
                </c:pt>
                <c:pt idx="7">
                  <c:v>-0.11073479605360036</c:v>
                </c:pt>
                <c:pt idx="8">
                  <c:v>-5.6128293241695305E-2</c:v>
                </c:pt>
                <c:pt idx="9">
                  <c:v>-4.4803334201615003E-2</c:v>
                </c:pt>
                <c:pt idx="10">
                  <c:v>-4.2995027785902314E-2</c:v>
                </c:pt>
              </c:numCache>
            </c:numRef>
          </c:val>
        </c:ser>
        <c:dLbls>
          <c:showLegendKey val="0"/>
          <c:showVal val="0"/>
          <c:showCatName val="0"/>
          <c:showSerName val="0"/>
          <c:showPercent val="0"/>
          <c:showBubbleSize val="0"/>
        </c:dLbls>
        <c:gapWidth val="150"/>
        <c:axId val="104533376"/>
        <c:axId val="104539264"/>
      </c:barChart>
      <c:catAx>
        <c:axId val="104533376"/>
        <c:scaling>
          <c:orientation val="minMax"/>
        </c:scaling>
        <c:delete val="0"/>
        <c:axPos val="b"/>
        <c:numFmt formatCode="General" sourceLinked="1"/>
        <c:majorTickMark val="out"/>
        <c:minorTickMark val="none"/>
        <c:tickLblPos val="low"/>
        <c:crossAx val="104539264"/>
        <c:crosses val="autoZero"/>
        <c:auto val="1"/>
        <c:lblAlgn val="ctr"/>
        <c:lblOffset val="100"/>
        <c:noMultiLvlLbl val="0"/>
      </c:catAx>
      <c:valAx>
        <c:axId val="104539264"/>
        <c:scaling>
          <c:orientation val="minMax"/>
        </c:scaling>
        <c:delete val="1"/>
        <c:axPos val="l"/>
        <c:numFmt formatCode="0%" sourceLinked="1"/>
        <c:majorTickMark val="out"/>
        <c:minorTickMark val="none"/>
        <c:tickLblPos val="nextTo"/>
        <c:crossAx val="104533376"/>
        <c:crosses val="autoZero"/>
        <c:crossBetween val="between"/>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 Change in Headcount by Age:</a:t>
            </a:r>
            <a:r>
              <a:rPr lang="en-US" sz="1200" baseline="0"/>
              <a:t> </a:t>
            </a:r>
            <a:r>
              <a:rPr lang="en-US" sz="1200"/>
              <a:t>Fall 2015 to Fall 2016</a:t>
            </a:r>
          </a:p>
        </c:rich>
      </c:tx>
      <c:layout/>
      <c:overlay val="0"/>
    </c:title>
    <c:autoTitleDeleted val="0"/>
    <c:plotArea>
      <c:layout>
        <c:manualLayout>
          <c:layoutTarget val="inner"/>
          <c:xMode val="edge"/>
          <c:yMode val="edge"/>
          <c:x val="2.7822364901016586E-2"/>
          <c:y val="0.20653165626300282"/>
          <c:w val="0.9386457207554938"/>
          <c:h val="0.68207042869641299"/>
        </c:manualLayout>
      </c:layout>
      <c:barChart>
        <c:barDir val="col"/>
        <c:grouping val="clustered"/>
        <c:varyColors val="0"/>
        <c:ser>
          <c:idx val="0"/>
          <c:order val="0"/>
          <c:tx>
            <c:strRef>
              <c:f>'General Summary'!$N$42</c:f>
              <c:strCache>
                <c:ptCount val="1"/>
              </c:strCache>
            </c:strRef>
          </c:tx>
          <c:spPr>
            <a:solidFill>
              <a:srgbClr val="68953B"/>
            </a:solidFill>
          </c:spPr>
          <c:invertIfNegative val="0"/>
          <c:dLbls>
            <c:dLbl>
              <c:idx val="1"/>
              <c:layout>
                <c:manualLayout>
                  <c:x val="-1.2866038803973034E-7"/>
                  <c:y val="5.5559930008748908E-3"/>
                </c:manualLayout>
              </c:layout>
              <c:dLblPos val="outEnd"/>
              <c:showLegendKey val="0"/>
              <c:showVal val="1"/>
              <c:showCatName val="0"/>
              <c:showSerName val="0"/>
              <c:showPercent val="0"/>
              <c:showBubbleSize val="0"/>
            </c:dLbl>
            <c:dLbl>
              <c:idx val="4"/>
              <c:layout>
                <c:manualLayout>
                  <c:x val="0"/>
                  <c:y val="-3.3333333333333333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'General Summary'!$A$43:$A$53</c:f>
              <c:strCache>
                <c:ptCount val="11"/>
                <c:pt idx="0">
                  <c:v>Under 20</c:v>
                </c:pt>
                <c:pt idx="1">
                  <c:v>20-24</c:v>
                </c:pt>
                <c:pt idx="2">
                  <c:v>25-29</c:v>
                </c:pt>
                <c:pt idx="3">
                  <c:v>30-34</c:v>
                </c:pt>
                <c:pt idx="4">
                  <c:v>35-39</c:v>
                </c:pt>
                <c:pt idx="5">
                  <c:v>40-44</c:v>
                </c:pt>
                <c:pt idx="6">
                  <c:v>45-49</c:v>
                </c:pt>
                <c:pt idx="7">
                  <c:v>50-54</c:v>
                </c:pt>
                <c:pt idx="8">
                  <c:v>55-59</c:v>
                </c:pt>
                <c:pt idx="9">
                  <c:v>60-64</c:v>
                </c:pt>
                <c:pt idx="10">
                  <c:v>65 or Above</c:v>
                </c:pt>
              </c:strCache>
            </c:strRef>
          </c:cat>
          <c:val>
            <c:numRef>
              <c:f>'General Summary'!$N$43:$N$53</c:f>
              <c:numCache>
                <c:formatCode>#,##0</c:formatCode>
                <c:ptCount val="11"/>
                <c:pt idx="0">
                  <c:v>1502</c:v>
                </c:pt>
                <c:pt idx="1">
                  <c:v>-2030</c:v>
                </c:pt>
                <c:pt idx="2">
                  <c:v>-414</c:v>
                </c:pt>
                <c:pt idx="3">
                  <c:v>-755</c:v>
                </c:pt>
                <c:pt idx="4">
                  <c:v>-201</c:v>
                </c:pt>
                <c:pt idx="5">
                  <c:v>-599</c:v>
                </c:pt>
                <c:pt idx="6">
                  <c:v>-495</c:v>
                </c:pt>
                <c:pt idx="7">
                  <c:v>-752</c:v>
                </c:pt>
                <c:pt idx="8">
                  <c:v>-294</c:v>
                </c:pt>
                <c:pt idx="9">
                  <c:v>-172</c:v>
                </c:pt>
                <c:pt idx="10">
                  <c:v>-294</c:v>
                </c:pt>
              </c:numCache>
            </c:numRef>
          </c:val>
        </c:ser>
        <c:dLbls>
          <c:dLblPos val="outEnd"/>
          <c:showLegendKey val="0"/>
          <c:showVal val="1"/>
          <c:showCatName val="0"/>
          <c:showSerName val="0"/>
          <c:showPercent val="0"/>
          <c:showBubbleSize val="0"/>
        </c:dLbls>
        <c:gapWidth val="150"/>
        <c:axId val="104554880"/>
        <c:axId val="104557568"/>
      </c:barChart>
      <c:catAx>
        <c:axId val="104554880"/>
        <c:scaling>
          <c:orientation val="minMax"/>
        </c:scaling>
        <c:delete val="0"/>
        <c:axPos val="b"/>
        <c:numFmt formatCode="General" sourceLinked="1"/>
        <c:majorTickMark val="out"/>
        <c:minorTickMark val="none"/>
        <c:tickLblPos val="low"/>
        <c:crossAx val="104557568"/>
        <c:crosses val="autoZero"/>
        <c:auto val="1"/>
        <c:lblAlgn val="ctr"/>
        <c:lblOffset val="100"/>
        <c:noMultiLvlLbl val="0"/>
      </c:catAx>
      <c:valAx>
        <c:axId val="104557568"/>
        <c:scaling>
          <c:orientation val="minMax"/>
        </c:scaling>
        <c:delete val="1"/>
        <c:axPos val="l"/>
        <c:numFmt formatCode="#,##0" sourceLinked="1"/>
        <c:majorTickMark val="out"/>
        <c:minorTickMark val="none"/>
        <c:tickLblPos val="nextTo"/>
        <c:crossAx val="104554880"/>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Apprenticeship FTES</a:t>
            </a:r>
          </a:p>
          <a:p>
            <a:pPr>
              <a:defRPr sz="1200"/>
            </a:pPr>
            <a:r>
              <a:rPr lang="en-US" sz="1200"/>
              <a:t>Fall Quarter - State-Supported</a:t>
            </a:r>
          </a:p>
        </c:rich>
      </c:tx>
      <c:layout/>
      <c:overlay val="0"/>
    </c:title>
    <c:autoTitleDeleted val="0"/>
    <c:plotArea>
      <c:layout/>
      <c:barChart>
        <c:barDir val="col"/>
        <c:grouping val="clustered"/>
        <c:varyColors val="0"/>
        <c:ser>
          <c:idx val="0"/>
          <c:order val="0"/>
          <c:tx>
            <c:strRef>
              <c:f>'Program Summary'!$B$2</c:f>
              <c:strCache>
                <c:ptCount val="1"/>
                <c:pt idx="0">
                  <c:v>Apprenticeship</c:v>
                </c:pt>
              </c:strCache>
            </c:strRef>
          </c:tx>
          <c:invertIfNegative val="0"/>
          <c:cat>
            <c:numRef>
              <c:f>'Program Summary'!$E$1:$I$1</c:f>
              <c:numCache>
                <c:formatCode>General</c:formatCode>
                <c:ptCount val="5"/>
                <c:pt idx="0">
                  <c:v>2012</c:v>
                </c:pt>
                <c:pt idx="1">
                  <c:v>2013</c:v>
                </c:pt>
                <c:pt idx="2">
                  <c:v>2014</c:v>
                </c:pt>
                <c:pt idx="3">
                  <c:v>2015</c:v>
                </c:pt>
                <c:pt idx="4">
                  <c:v>2016</c:v>
                </c:pt>
              </c:numCache>
            </c:numRef>
          </c:cat>
          <c:val>
            <c:numRef>
              <c:f>'Program Summary'!$E$2:$I$2</c:f>
              <c:numCache>
                <c:formatCode>#,##0</c:formatCode>
                <c:ptCount val="5"/>
                <c:pt idx="0">
                  <c:v>1789</c:v>
                </c:pt>
                <c:pt idx="1">
                  <c:v>1840</c:v>
                </c:pt>
                <c:pt idx="2">
                  <c:v>2369</c:v>
                </c:pt>
                <c:pt idx="3">
                  <c:v>2934</c:v>
                </c:pt>
                <c:pt idx="4">
                  <c:v>3382</c:v>
                </c:pt>
              </c:numCache>
            </c:numRef>
          </c:val>
        </c:ser>
        <c:dLbls>
          <c:dLblPos val="outEnd"/>
          <c:showLegendKey val="0"/>
          <c:showVal val="1"/>
          <c:showCatName val="0"/>
          <c:showSerName val="0"/>
          <c:showPercent val="0"/>
          <c:showBubbleSize val="0"/>
        </c:dLbls>
        <c:gapWidth val="50"/>
        <c:axId val="104594816"/>
        <c:axId val="104608896"/>
      </c:barChart>
      <c:catAx>
        <c:axId val="104594816"/>
        <c:scaling>
          <c:orientation val="minMax"/>
        </c:scaling>
        <c:delete val="0"/>
        <c:axPos val="b"/>
        <c:numFmt formatCode="General" sourceLinked="1"/>
        <c:majorTickMark val="out"/>
        <c:minorTickMark val="none"/>
        <c:tickLblPos val="nextTo"/>
        <c:crossAx val="104608896"/>
        <c:crosses val="autoZero"/>
        <c:auto val="1"/>
        <c:lblAlgn val="ctr"/>
        <c:lblOffset val="100"/>
        <c:noMultiLvlLbl val="0"/>
      </c:catAx>
      <c:valAx>
        <c:axId val="104608896"/>
        <c:scaling>
          <c:orientation val="minMax"/>
        </c:scaling>
        <c:delete val="0"/>
        <c:axPos val="l"/>
        <c:numFmt formatCode="#,##0" sourceLinked="1"/>
        <c:majorTickMark val="out"/>
        <c:minorTickMark val="none"/>
        <c:tickLblPos val="nextTo"/>
        <c:crossAx val="104594816"/>
        <c:crosses val="autoZero"/>
        <c:crossBetween val="between"/>
      </c:valAx>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Applied Baccalaureate FTES</a:t>
            </a:r>
          </a:p>
          <a:p>
            <a:pPr>
              <a:defRPr sz="1200"/>
            </a:pPr>
            <a:r>
              <a:rPr lang="en-US" sz="1200"/>
              <a:t>Fall</a:t>
            </a:r>
            <a:r>
              <a:rPr lang="en-US" sz="1200" baseline="0"/>
              <a:t> Quarter - All Fund Sources</a:t>
            </a:r>
            <a:endParaRPr lang="en-US" sz="1200"/>
          </a:p>
        </c:rich>
      </c:tx>
      <c:layout/>
      <c:overlay val="0"/>
    </c:title>
    <c:autoTitleDeleted val="0"/>
    <c:plotArea>
      <c:layout/>
      <c:barChart>
        <c:barDir val="col"/>
        <c:grouping val="clustered"/>
        <c:varyColors val="0"/>
        <c:ser>
          <c:idx val="0"/>
          <c:order val="0"/>
          <c:tx>
            <c:strRef>
              <c:f>'Program Summary'!$B$4</c:f>
              <c:strCache>
                <c:ptCount val="1"/>
                <c:pt idx="0">
                  <c:v>Applied Baccalaureate</c:v>
                </c:pt>
              </c:strCache>
            </c:strRef>
          </c:tx>
          <c:invertIfNegative val="0"/>
          <c:cat>
            <c:numRef>
              <c:f>'Program Summary'!$E$3:$I$3</c:f>
              <c:numCache>
                <c:formatCode>General</c:formatCode>
                <c:ptCount val="5"/>
                <c:pt idx="0">
                  <c:v>2012</c:v>
                </c:pt>
                <c:pt idx="1">
                  <c:v>2013</c:v>
                </c:pt>
                <c:pt idx="2">
                  <c:v>2014</c:v>
                </c:pt>
                <c:pt idx="3">
                  <c:v>2015</c:v>
                </c:pt>
                <c:pt idx="4">
                  <c:v>2016</c:v>
                </c:pt>
              </c:numCache>
            </c:numRef>
          </c:cat>
          <c:val>
            <c:numRef>
              <c:f>'Program Summary'!$E$4:$I$4</c:f>
              <c:numCache>
                <c:formatCode>#,##0</c:formatCode>
                <c:ptCount val="5"/>
                <c:pt idx="0">
                  <c:v>454</c:v>
                </c:pt>
                <c:pt idx="1">
                  <c:v>573</c:v>
                </c:pt>
                <c:pt idx="2">
                  <c:v>883</c:v>
                </c:pt>
                <c:pt idx="3">
                  <c:v>1428</c:v>
                </c:pt>
                <c:pt idx="4">
                  <c:v>2043</c:v>
                </c:pt>
              </c:numCache>
            </c:numRef>
          </c:val>
        </c:ser>
        <c:dLbls>
          <c:dLblPos val="outEnd"/>
          <c:showLegendKey val="0"/>
          <c:showVal val="1"/>
          <c:showCatName val="0"/>
          <c:showSerName val="0"/>
          <c:showPercent val="0"/>
          <c:showBubbleSize val="0"/>
        </c:dLbls>
        <c:gapWidth val="50"/>
        <c:axId val="104633472"/>
        <c:axId val="104635008"/>
      </c:barChart>
      <c:catAx>
        <c:axId val="104633472"/>
        <c:scaling>
          <c:orientation val="minMax"/>
        </c:scaling>
        <c:delete val="0"/>
        <c:axPos val="b"/>
        <c:numFmt formatCode="General" sourceLinked="1"/>
        <c:majorTickMark val="out"/>
        <c:minorTickMark val="none"/>
        <c:tickLblPos val="nextTo"/>
        <c:crossAx val="104635008"/>
        <c:crosses val="autoZero"/>
        <c:auto val="1"/>
        <c:lblAlgn val="ctr"/>
        <c:lblOffset val="100"/>
        <c:noMultiLvlLbl val="0"/>
      </c:catAx>
      <c:valAx>
        <c:axId val="104635008"/>
        <c:scaling>
          <c:orientation val="minMax"/>
        </c:scaling>
        <c:delete val="0"/>
        <c:axPos val="l"/>
        <c:numFmt formatCode="#,##0" sourceLinked="1"/>
        <c:majorTickMark val="out"/>
        <c:minorTickMark val="none"/>
        <c:tickLblPos val="nextTo"/>
        <c:crossAx val="104633472"/>
        <c:crosses val="autoZero"/>
        <c:crossBetween val="between"/>
      </c:valAx>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eLearning FTES</a:t>
            </a:r>
          </a:p>
          <a:p>
            <a:pPr>
              <a:defRPr sz="1200"/>
            </a:pPr>
            <a:r>
              <a:rPr lang="en-US" sz="1200"/>
              <a:t>Fall Quarter - All Fund Sources </a:t>
            </a:r>
          </a:p>
        </c:rich>
      </c:tx>
      <c:layout/>
      <c:overlay val="0"/>
    </c:title>
    <c:autoTitleDeleted val="0"/>
    <c:plotArea>
      <c:layout/>
      <c:barChart>
        <c:barDir val="col"/>
        <c:grouping val="stacked"/>
        <c:varyColors val="0"/>
        <c:ser>
          <c:idx val="0"/>
          <c:order val="0"/>
          <c:tx>
            <c:strRef>
              <c:f>'Program Summary'!$B$6</c:f>
              <c:strCache>
                <c:ptCount val="1"/>
                <c:pt idx="0">
                  <c:v>Online</c:v>
                </c:pt>
              </c:strCache>
            </c:strRef>
          </c:tx>
          <c:spPr>
            <a:solidFill>
              <a:schemeClr val="accent1"/>
            </a:solidFill>
          </c:spPr>
          <c:invertIfNegative val="0"/>
          <c:cat>
            <c:numRef>
              <c:f>'Program Summary'!$E$5:$I$5</c:f>
              <c:numCache>
                <c:formatCode>General</c:formatCode>
                <c:ptCount val="5"/>
                <c:pt idx="0">
                  <c:v>2012</c:v>
                </c:pt>
                <c:pt idx="1">
                  <c:v>2013</c:v>
                </c:pt>
                <c:pt idx="2">
                  <c:v>2014</c:v>
                </c:pt>
                <c:pt idx="3">
                  <c:v>2015</c:v>
                </c:pt>
                <c:pt idx="4">
                  <c:v>2016</c:v>
                </c:pt>
              </c:numCache>
            </c:numRef>
          </c:cat>
          <c:val>
            <c:numRef>
              <c:f>'Program Summary'!$E$6:$I$6</c:f>
              <c:numCache>
                <c:formatCode>#,##0</c:formatCode>
                <c:ptCount val="5"/>
                <c:pt idx="0">
                  <c:v>20150</c:v>
                </c:pt>
                <c:pt idx="1">
                  <c:v>20796</c:v>
                </c:pt>
                <c:pt idx="2">
                  <c:v>21352</c:v>
                </c:pt>
                <c:pt idx="3">
                  <c:v>21928.65</c:v>
                </c:pt>
                <c:pt idx="4">
                  <c:v>23485.734928000998</c:v>
                </c:pt>
              </c:numCache>
            </c:numRef>
          </c:val>
        </c:ser>
        <c:ser>
          <c:idx val="1"/>
          <c:order val="1"/>
          <c:tx>
            <c:strRef>
              <c:f>'Program Summary'!$B$7</c:f>
              <c:strCache>
                <c:ptCount val="1"/>
                <c:pt idx="0">
                  <c:v>Hybrid</c:v>
                </c:pt>
              </c:strCache>
            </c:strRef>
          </c:tx>
          <c:spPr>
            <a:solidFill>
              <a:schemeClr val="accent1">
                <a:lumMod val="60000"/>
                <a:lumOff val="40000"/>
              </a:schemeClr>
            </a:solidFill>
          </c:spPr>
          <c:invertIfNegative val="0"/>
          <c:cat>
            <c:numRef>
              <c:f>'Program Summary'!$E$5:$I$5</c:f>
              <c:numCache>
                <c:formatCode>General</c:formatCode>
                <c:ptCount val="5"/>
                <c:pt idx="0">
                  <c:v>2012</c:v>
                </c:pt>
                <c:pt idx="1">
                  <c:v>2013</c:v>
                </c:pt>
                <c:pt idx="2">
                  <c:v>2014</c:v>
                </c:pt>
                <c:pt idx="3">
                  <c:v>2015</c:v>
                </c:pt>
                <c:pt idx="4">
                  <c:v>2016</c:v>
                </c:pt>
              </c:numCache>
            </c:numRef>
          </c:cat>
          <c:val>
            <c:numRef>
              <c:f>'Program Summary'!$E$7:$I$7</c:f>
              <c:numCache>
                <c:formatCode>#,##0</c:formatCode>
                <c:ptCount val="5"/>
                <c:pt idx="0">
                  <c:v>12376</c:v>
                </c:pt>
                <c:pt idx="1">
                  <c:v>13946</c:v>
                </c:pt>
                <c:pt idx="2">
                  <c:v>15384</c:v>
                </c:pt>
                <c:pt idx="3">
                  <c:v>17025.652999999998</c:v>
                </c:pt>
                <c:pt idx="4">
                  <c:v>18031.202578000401</c:v>
                </c:pt>
              </c:numCache>
            </c:numRef>
          </c:val>
        </c:ser>
        <c:ser>
          <c:idx val="2"/>
          <c:order val="2"/>
          <c:tx>
            <c:strRef>
              <c:f>'Program Summary'!$B$8</c:f>
              <c:strCache>
                <c:ptCount val="1"/>
                <c:pt idx="0">
                  <c:v>All Other</c:v>
                </c:pt>
              </c:strCache>
            </c:strRef>
          </c:tx>
          <c:spPr>
            <a:solidFill>
              <a:schemeClr val="accent1">
                <a:lumMod val="40000"/>
                <a:lumOff val="60000"/>
              </a:schemeClr>
            </a:solidFill>
          </c:spPr>
          <c:invertIfNegative val="0"/>
          <c:cat>
            <c:numRef>
              <c:f>'Program Summary'!$E$5:$I$5</c:f>
              <c:numCache>
                <c:formatCode>General</c:formatCode>
                <c:ptCount val="5"/>
                <c:pt idx="0">
                  <c:v>2012</c:v>
                </c:pt>
                <c:pt idx="1">
                  <c:v>2013</c:v>
                </c:pt>
                <c:pt idx="2">
                  <c:v>2014</c:v>
                </c:pt>
                <c:pt idx="3">
                  <c:v>2015</c:v>
                </c:pt>
                <c:pt idx="4">
                  <c:v>2016</c:v>
                </c:pt>
              </c:numCache>
            </c:numRef>
          </c:cat>
          <c:val>
            <c:numRef>
              <c:f>'Program Summary'!$E$8:$I$8</c:f>
              <c:numCache>
                <c:formatCode>#,##0</c:formatCode>
                <c:ptCount val="5"/>
                <c:pt idx="0">
                  <c:v>600</c:v>
                </c:pt>
                <c:pt idx="1">
                  <c:v>680</c:v>
                </c:pt>
                <c:pt idx="2">
                  <c:v>617</c:v>
                </c:pt>
                <c:pt idx="3">
                  <c:v>786</c:v>
                </c:pt>
                <c:pt idx="4">
                  <c:v>722.47497499999895</c:v>
                </c:pt>
              </c:numCache>
            </c:numRef>
          </c:val>
        </c:ser>
        <c:dLbls>
          <c:showLegendKey val="0"/>
          <c:showVal val="1"/>
          <c:showCatName val="0"/>
          <c:showSerName val="0"/>
          <c:showPercent val="0"/>
          <c:showBubbleSize val="0"/>
        </c:dLbls>
        <c:gapWidth val="50"/>
        <c:overlap val="100"/>
        <c:axId val="104936960"/>
        <c:axId val="104938496"/>
      </c:barChart>
      <c:catAx>
        <c:axId val="104936960"/>
        <c:scaling>
          <c:orientation val="minMax"/>
        </c:scaling>
        <c:delete val="0"/>
        <c:axPos val="b"/>
        <c:numFmt formatCode="General" sourceLinked="1"/>
        <c:majorTickMark val="out"/>
        <c:minorTickMark val="none"/>
        <c:tickLblPos val="nextTo"/>
        <c:crossAx val="104938496"/>
        <c:crosses val="autoZero"/>
        <c:auto val="1"/>
        <c:lblAlgn val="ctr"/>
        <c:lblOffset val="100"/>
        <c:noMultiLvlLbl val="0"/>
      </c:catAx>
      <c:valAx>
        <c:axId val="104938496"/>
        <c:scaling>
          <c:orientation val="minMax"/>
        </c:scaling>
        <c:delete val="0"/>
        <c:axPos val="l"/>
        <c:numFmt formatCode="#,##0" sourceLinked="1"/>
        <c:majorTickMark val="out"/>
        <c:minorTickMark val="none"/>
        <c:tickLblPos val="nextTo"/>
        <c:crossAx val="104936960"/>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I-BEST FTES</a:t>
            </a:r>
          </a:p>
          <a:p>
            <a:pPr>
              <a:defRPr sz="1200"/>
            </a:pPr>
            <a:r>
              <a:rPr lang="en-US" sz="1200"/>
              <a:t>Fall</a:t>
            </a:r>
            <a:r>
              <a:rPr lang="en-US" sz="1200" baseline="0"/>
              <a:t> Quarter - All Funding Sources</a:t>
            </a:r>
            <a:endParaRPr lang="en-US" sz="1200"/>
          </a:p>
        </c:rich>
      </c:tx>
      <c:layout/>
      <c:overlay val="0"/>
    </c:title>
    <c:autoTitleDeleted val="0"/>
    <c:plotArea>
      <c:layout/>
      <c:barChart>
        <c:barDir val="col"/>
        <c:grouping val="clustered"/>
        <c:varyColors val="0"/>
        <c:ser>
          <c:idx val="0"/>
          <c:order val="0"/>
          <c:tx>
            <c:strRef>
              <c:f>'Program Summary'!$B$11</c:f>
              <c:strCache>
                <c:ptCount val="1"/>
                <c:pt idx="0">
                  <c:v>I-BEST</c:v>
                </c:pt>
              </c:strCache>
            </c:strRef>
          </c:tx>
          <c:invertIfNegative val="0"/>
          <c:cat>
            <c:numRef>
              <c:f>'Program Summary'!$E$10:$I$10</c:f>
              <c:numCache>
                <c:formatCode>General</c:formatCode>
                <c:ptCount val="5"/>
                <c:pt idx="0">
                  <c:v>2012</c:v>
                </c:pt>
                <c:pt idx="1">
                  <c:v>2013</c:v>
                </c:pt>
                <c:pt idx="2">
                  <c:v>2014</c:v>
                </c:pt>
                <c:pt idx="3">
                  <c:v>2015</c:v>
                </c:pt>
                <c:pt idx="4">
                  <c:v>2016</c:v>
                </c:pt>
              </c:numCache>
            </c:numRef>
          </c:cat>
          <c:val>
            <c:numRef>
              <c:f>'Program Summary'!$E$11:$I$11</c:f>
              <c:numCache>
                <c:formatCode>#,##0</c:formatCode>
                <c:ptCount val="5"/>
                <c:pt idx="0">
                  <c:v>1349</c:v>
                </c:pt>
                <c:pt idx="1">
                  <c:v>2042</c:v>
                </c:pt>
                <c:pt idx="2">
                  <c:v>2162.7800000000002</c:v>
                </c:pt>
                <c:pt idx="3">
                  <c:v>2455</c:v>
                </c:pt>
                <c:pt idx="4">
                  <c:v>2584</c:v>
                </c:pt>
              </c:numCache>
            </c:numRef>
          </c:val>
        </c:ser>
        <c:dLbls>
          <c:dLblPos val="outEnd"/>
          <c:showLegendKey val="0"/>
          <c:showVal val="1"/>
          <c:showCatName val="0"/>
          <c:showSerName val="0"/>
          <c:showPercent val="0"/>
          <c:showBubbleSize val="0"/>
        </c:dLbls>
        <c:gapWidth val="50"/>
        <c:axId val="104661376"/>
        <c:axId val="104662912"/>
      </c:barChart>
      <c:catAx>
        <c:axId val="104661376"/>
        <c:scaling>
          <c:orientation val="minMax"/>
        </c:scaling>
        <c:delete val="0"/>
        <c:axPos val="b"/>
        <c:numFmt formatCode="General" sourceLinked="1"/>
        <c:majorTickMark val="out"/>
        <c:minorTickMark val="none"/>
        <c:tickLblPos val="nextTo"/>
        <c:crossAx val="104662912"/>
        <c:crosses val="autoZero"/>
        <c:auto val="1"/>
        <c:lblAlgn val="ctr"/>
        <c:lblOffset val="100"/>
        <c:noMultiLvlLbl val="0"/>
      </c:catAx>
      <c:valAx>
        <c:axId val="104662912"/>
        <c:scaling>
          <c:orientation val="minMax"/>
        </c:scaling>
        <c:delete val="0"/>
        <c:axPos val="l"/>
        <c:numFmt formatCode="#,##0" sourceLinked="1"/>
        <c:majorTickMark val="out"/>
        <c:minorTickMark val="none"/>
        <c:tickLblPos val="nextTo"/>
        <c:crossAx val="10466137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998B-9031-4315-8C36-444C067C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234A930</Template>
  <TotalTime>37</TotalTime>
  <Pages>10</Pages>
  <Words>1521</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Allocation Models</vt:lpstr>
    </vt:vector>
  </TitlesOfParts>
  <Company>SBCTC</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Models</dc:title>
  <dc:creator>edavis</dc:creator>
  <cp:lastModifiedBy>Devin DuPree</cp:lastModifiedBy>
  <cp:revision>3</cp:revision>
  <cp:lastPrinted>2015-02-03T23:42:00Z</cp:lastPrinted>
  <dcterms:created xsi:type="dcterms:W3CDTF">2017-02-10T23:57:00Z</dcterms:created>
  <dcterms:modified xsi:type="dcterms:W3CDTF">2017-02-13T17:25:00Z</dcterms:modified>
</cp:coreProperties>
</file>