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3475" w14:textId="568A775C" w:rsidR="00630D2A" w:rsidRPr="005C528E" w:rsidRDefault="00144895" w:rsidP="005C528E">
      <w:pPr>
        <w:jc w:val="center"/>
        <w:rPr>
          <w:rFonts w:ascii="Avenir Next Demi Bold" w:hAnsi="Avenir Next Demi Bold"/>
          <w:b/>
          <w:bCs/>
          <w:color w:val="42505A"/>
          <w:sz w:val="56"/>
          <w:szCs w:val="56"/>
        </w:rPr>
      </w:pPr>
      <w:bookmarkStart w:id="0" w:name="_GoBack"/>
      <w:bookmarkEnd w:id="0"/>
      <w:r>
        <w:rPr>
          <w:rFonts w:ascii="Avenir Next Demi Bold" w:hAnsi="Avenir Next Demi Bold"/>
          <w:b/>
          <w:bCs/>
          <w:color w:val="42505A"/>
          <w:sz w:val="56"/>
          <w:szCs w:val="56"/>
        </w:rPr>
        <w:t>Register Now</w:t>
      </w:r>
      <w:r w:rsidR="00CB0EA1" w:rsidRPr="008C0750">
        <w:rPr>
          <w:rFonts w:ascii="Avenir Next Demi Bold" w:hAnsi="Avenir Next Demi Bold"/>
          <w:b/>
          <w:bCs/>
          <w:color w:val="42505A"/>
          <w:sz w:val="56"/>
          <w:szCs w:val="56"/>
        </w:rPr>
        <w:t>!</w:t>
      </w:r>
    </w:p>
    <w:p w14:paraId="197AE635" w14:textId="1911D6D8" w:rsidR="00630D2A" w:rsidRPr="005C528E" w:rsidRDefault="005714B9" w:rsidP="005C528E">
      <w:pPr>
        <w:jc w:val="center"/>
        <w:rPr>
          <w:rFonts w:ascii="Avenir Next Demi Bold" w:hAnsi="Avenir Next Demi Bold"/>
          <w:b/>
          <w:bCs/>
          <w:color w:val="C45911" w:themeColor="accent2" w:themeShade="BF"/>
          <w:sz w:val="56"/>
          <w:szCs w:val="56"/>
        </w:rPr>
      </w:pPr>
      <w:r>
        <w:rPr>
          <w:rFonts w:ascii="Avenir Next Demi Bold" w:hAnsi="Avenir Next Demi Bold"/>
          <w:b/>
          <w:bCs/>
          <w:color w:val="C45911" w:themeColor="accent2" w:themeShade="BF"/>
          <w:sz w:val="56"/>
          <w:szCs w:val="56"/>
        </w:rPr>
        <w:t xml:space="preserve">Implementing </w:t>
      </w:r>
      <w:r w:rsidR="00BA114B">
        <w:rPr>
          <w:rFonts w:ascii="Avenir Next Demi Bold" w:hAnsi="Avenir Next Demi Bold"/>
          <w:b/>
          <w:bCs/>
          <w:color w:val="C45911" w:themeColor="accent2" w:themeShade="BF"/>
          <w:sz w:val="56"/>
          <w:szCs w:val="56"/>
        </w:rPr>
        <w:t>Co-requisite</w:t>
      </w:r>
      <w:r w:rsidR="00CB0EA1" w:rsidRPr="00DD7E78">
        <w:rPr>
          <w:rFonts w:ascii="Avenir Next Demi Bold" w:hAnsi="Avenir Next Demi Bold"/>
          <w:b/>
          <w:bCs/>
          <w:color w:val="C45911" w:themeColor="accent2" w:themeShade="BF"/>
          <w:sz w:val="56"/>
          <w:szCs w:val="56"/>
        </w:rPr>
        <w:t xml:space="preserve"> </w:t>
      </w:r>
      <w:r>
        <w:rPr>
          <w:rFonts w:ascii="Avenir Next Demi Bold" w:hAnsi="Avenir Next Demi Bold"/>
          <w:b/>
          <w:bCs/>
          <w:color w:val="C45911" w:themeColor="accent2" w:themeShade="BF"/>
          <w:sz w:val="56"/>
          <w:szCs w:val="56"/>
        </w:rPr>
        <w:t>Mathematics</w:t>
      </w:r>
    </w:p>
    <w:p w14:paraId="796E932D" w14:textId="4F67326D" w:rsidR="00A21DAE" w:rsidRPr="00590593" w:rsidRDefault="005714B9" w:rsidP="00590593">
      <w:pPr>
        <w:jc w:val="center"/>
        <w:rPr>
          <w:rFonts w:ascii="Avenir Next Demi Bold" w:hAnsi="Avenir Next Demi Bold"/>
          <w:b/>
          <w:bCs/>
          <w:sz w:val="44"/>
          <w:szCs w:val="44"/>
        </w:rPr>
      </w:pPr>
      <w:r>
        <w:rPr>
          <w:rFonts w:ascii="Avenir Next Demi Bold" w:hAnsi="Avenir Next Demi Bold"/>
          <w:b/>
          <w:bCs/>
          <w:sz w:val="44"/>
          <w:szCs w:val="44"/>
        </w:rPr>
        <w:t>November 5</w:t>
      </w:r>
      <w:r w:rsidRPr="005714B9">
        <w:rPr>
          <w:rFonts w:ascii="Avenir Next Demi Bold" w:hAnsi="Avenir Next Demi Bold"/>
          <w:b/>
          <w:bCs/>
          <w:sz w:val="44"/>
          <w:szCs w:val="44"/>
          <w:vertAlign w:val="superscript"/>
        </w:rPr>
        <w:t>th</w:t>
      </w:r>
      <w:r>
        <w:rPr>
          <w:rFonts w:ascii="Avenir Next Demi Bold" w:hAnsi="Avenir Next Demi Bold"/>
          <w:b/>
          <w:bCs/>
          <w:sz w:val="44"/>
          <w:szCs w:val="44"/>
        </w:rPr>
        <w:t>, 2019</w:t>
      </w:r>
      <w:r w:rsidR="00026D3A" w:rsidRPr="00026D3A">
        <w:rPr>
          <w:rFonts w:ascii="Avenir Next Demi Bold" w:hAnsi="Avenir Next Demi Bold"/>
          <w:b/>
          <w:bCs/>
          <w:sz w:val="44"/>
          <w:szCs w:val="44"/>
        </w:rPr>
        <w:t xml:space="preserve"> </w:t>
      </w:r>
    </w:p>
    <w:p w14:paraId="069E06C4" w14:textId="152A04A4" w:rsidR="00CB0EA1" w:rsidRPr="00026D3A" w:rsidRDefault="0030459D" w:rsidP="00CB0EA1">
      <w:pPr>
        <w:jc w:val="center"/>
        <w:rPr>
          <w:rFonts w:ascii="Avenir Next Demi Bold" w:hAnsi="Avenir Next Demi Bold"/>
          <w:b/>
          <w:bCs/>
          <w:sz w:val="44"/>
          <w:szCs w:val="44"/>
        </w:rPr>
      </w:pPr>
      <w:r>
        <w:rPr>
          <w:rFonts w:ascii="Avenir Next Demi Bold" w:hAnsi="Avenir Next Demi Bold"/>
          <w:b/>
          <w:bCs/>
          <w:sz w:val="44"/>
          <w:szCs w:val="44"/>
        </w:rPr>
        <w:t xml:space="preserve">Highline College (Student Union </w:t>
      </w:r>
      <w:proofErr w:type="spellStart"/>
      <w:r>
        <w:rPr>
          <w:rFonts w:ascii="Avenir Next Demi Bold" w:hAnsi="Avenir Next Demi Bold"/>
          <w:b/>
          <w:bCs/>
          <w:sz w:val="44"/>
          <w:szCs w:val="44"/>
        </w:rPr>
        <w:t>Bldg</w:t>
      </w:r>
      <w:proofErr w:type="spellEnd"/>
      <w:r>
        <w:rPr>
          <w:rFonts w:ascii="Avenir Next Demi Bold" w:hAnsi="Avenir Next Demi Bold"/>
          <w:b/>
          <w:bCs/>
          <w:sz w:val="44"/>
          <w:szCs w:val="44"/>
        </w:rPr>
        <w:t>)</w:t>
      </w:r>
    </w:p>
    <w:p w14:paraId="7776319D" w14:textId="060FA7D8" w:rsidR="007A1CB7" w:rsidRDefault="00A933B3" w:rsidP="007A1CB7">
      <w:pPr>
        <w:tabs>
          <w:tab w:val="center" w:pos="4680"/>
        </w:tabs>
        <w:rPr>
          <w:rFonts w:ascii="Avenir Next Demi Bold" w:hAnsi="Avenir Next Demi Bold"/>
          <w:b/>
          <w:bCs/>
        </w:rPr>
      </w:pPr>
      <w:r>
        <w:rPr>
          <w:rFonts w:ascii="Avenir Next Demi Bold" w:hAnsi="Avenir Next Demi Bold"/>
          <w:b/>
          <w:bCs/>
          <w:noProof/>
        </w:rPr>
        <w:pict w14:anchorId="45688957">
          <v:rect id="_x0000_i1025" alt="" style="width:540pt;height:.05pt;mso-width-percent:0;mso-height-percent:0;mso-width-percent:0;mso-height-percent:0" o:hralign="center" o:hrstd="t" o:hr="t" fillcolor="#aaa" stroked="f"/>
        </w:pict>
      </w:r>
    </w:p>
    <w:p w14:paraId="1D55FDC9" w14:textId="451879EE" w:rsidR="00FE2964" w:rsidRPr="00221530" w:rsidRDefault="005714B9" w:rsidP="006843FF">
      <w:pPr>
        <w:tabs>
          <w:tab w:val="left" w:pos="7920"/>
        </w:tabs>
        <w:rPr>
          <w:rFonts w:ascii="Goudy Old Style" w:hAnsi="Goudy Old Style"/>
          <w:b/>
          <w:bCs/>
          <w:color w:val="000000" w:themeColor="text1"/>
          <w:sz w:val="32"/>
          <w:szCs w:val="32"/>
        </w:rPr>
      </w:pPr>
      <w:r>
        <w:rPr>
          <w:rFonts w:ascii="Goudy Old Style" w:hAnsi="Goudy Old Style"/>
          <w:b/>
          <w:bCs/>
          <w:color w:val="000000" w:themeColor="text1"/>
          <w:sz w:val="32"/>
          <w:szCs w:val="32"/>
        </w:rPr>
        <w:t>Hosted by:</w:t>
      </w:r>
      <w:r w:rsidR="006843FF" w:rsidRPr="00221530">
        <w:rPr>
          <w:rFonts w:ascii="Goudy Old Style" w:hAnsi="Goudy Old Style"/>
          <w:b/>
          <w:bCs/>
          <w:color w:val="000000" w:themeColor="text1"/>
          <w:sz w:val="32"/>
          <w:szCs w:val="32"/>
        </w:rPr>
        <w:tab/>
        <w:t>Facilitated by:</w:t>
      </w:r>
    </w:p>
    <w:p w14:paraId="5FC3EB16" w14:textId="7D4EDC38" w:rsidR="006843FF" w:rsidRDefault="006843FF" w:rsidP="007A1CB7">
      <w:pPr>
        <w:rPr>
          <w:rFonts w:ascii="Avenir Heavy" w:hAnsi="Avenir Heavy"/>
          <w:b/>
          <w:bCs/>
          <w:color w:val="000000" w:themeColor="text1"/>
          <w:sz w:val="28"/>
          <w:szCs w:val="28"/>
        </w:rPr>
      </w:pPr>
      <w:r>
        <w:rPr>
          <w:rFonts w:ascii="Avenir Next Demi Bold" w:hAnsi="Avenir Next Demi Bold"/>
          <w:b/>
          <w:bCs/>
          <w:noProof/>
          <w:color w:val="42505A"/>
          <w:sz w:val="36"/>
          <w:szCs w:val="36"/>
        </w:rPr>
        <w:drawing>
          <wp:inline distT="0" distB="0" distL="0" distR="0" wp14:anchorId="5FB4B3AE" wp14:editId="325E000A">
            <wp:extent cx="2332495" cy="94473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ctc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44" cy="9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Pr="006843FF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1E7B3766" wp14:editId="3DCB2439">
            <wp:extent cx="2030348" cy="80941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a Center Mathematics Pathways_approved logo_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81" cy="8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0D82" w14:textId="77777777" w:rsidR="006843FF" w:rsidRDefault="006843FF" w:rsidP="007A1CB7">
      <w:pPr>
        <w:rPr>
          <w:rFonts w:ascii="Avenir Heavy" w:hAnsi="Avenir Heavy"/>
          <w:b/>
          <w:bCs/>
          <w:color w:val="000000" w:themeColor="text1"/>
          <w:sz w:val="28"/>
          <w:szCs w:val="28"/>
        </w:rPr>
      </w:pPr>
    </w:p>
    <w:p w14:paraId="3322C2E5" w14:textId="11A9AF11" w:rsidR="001E54C8" w:rsidRPr="005C528E" w:rsidRDefault="005714B9" w:rsidP="007A1CB7">
      <w:pPr>
        <w:rPr>
          <w:rFonts w:ascii="Cambria" w:hAnsi="Cambria"/>
          <w:color w:val="000000" w:themeColor="text1"/>
          <w:sz w:val="28"/>
          <w:szCs w:val="28"/>
        </w:rPr>
      </w:pPr>
      <w:r w:rsidRPr="005C528E">
        <w:rPr>
          <w:rFonts w:ascii="Cambria" w:hAnsi="Cambria"/>
          <w:color w:val="000000" w:themeColor="text1"/>
          <w:sz w:val="28"/>
          <w:szCs w:val="28"/>
        </w:rPr>
        <w:t>As a follow-up to the initial fall 2018 workshop, this 1-day gathering</w:t>
      </w:r>
      <w:r w:rsidR="007A1CB7" w:rsidRPr="005C528E">
        <w:rPr>
          <w:rFonts w:ascii="Cambria" w:hAnsi="Cambria"/>
          <w:color w:val="000000" w:themeColor="text1"/>
          <w:sz w:val="28"/>
          <w:szCs w:val="28"/>
        </w:rPr>
        <w:t xml:space="preserve"> supports </w:t>
      </w:r>
      <w:r w:rsidR="005C061D" w:rsidRPr="005C528E">
        <w:rPr>
          <w:rFonts w:ascii="Cambria" w:hAnsi="Cambria"/>
          <w:color w:val="000000" w:themeColor="text1"/>
          <w:sz w:val="28"/>
          <w:szCs w:val="28"/>
        </w:rPr>
        <w:t xml:space="preserve">college and university </w:t>
      </w:r>
      <w:r w:rsidR="007A1CB7" w:rsidRPr="005C528E">
        <w:rPr>
          <w:rFonts w:ascii="Cambria" w:hAnsi="Cambria"/>
          <w:color w:val="000000" w:themeColor="text1"/>
          <w:sz w:val="28"/>
          <w:szCs w:val="28"/>
        </w:rPr>
        <w:t xml:space="preserve">teams </w:t>
      </w:r>
      <w:r w:rsidR="00B47CD8" w:rsidRPr="005C528E">
        <w:rPr>
          <w:rFonts w:ascii="Cambria" w:hAnsi="Cambria"/>
          <w:color w:val="000000" w:themeColor="text1"/>
          <w:sz w:val="28"/>
          <w:szCs w:val="28"/>
        </w:rPr>
        <w:t>who are</w:t>
      </w:r>
      <w:r w:rsidR="007A1CB7" w:rsidRPr="005C528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C528E">
        <w:rPr>
          <w:rFonts w:ascii="Cambria" w:hAnsi="Cambria"/>
          <w:color w:val="000000" w:themeColor="text1"/>
          <w:sz w:val="28"/>
          <w:szCs w:val="28"/>
        </w:rPr>
        <w:t>currently offering math co-requisite courses designed t</w:t>
      </w:r>
      <w:r w:rsidR="007A1CB7" w:rsidRPr="005C528E">
        <w:rPr>
          <w:rFonts w:ascii="Cambria" w:hAnsi="Cambria"/>
          <w:color w:val="000000" w:themeColor="text1"/>
          <w:sz w:val="28"/>
          <w:szCs w:val="28"/>
        </w:rPr>
        <w:t xml:space="preserve">o </w:t>
      </w:r>
      <w:r w:rsidRPr="005C528E">
        <w:rPr>
          <w:rFonts w:ascii="Cambria" w:hAnsi="Cambria"/>
          <w:color w:val="000000" w:themeColor="text1"/>
          <w:sz w:val="28"/>
          <w:szCs w:val="28"/>
        </w:rPr>
        <w:t xml:space="preserve">help </w:t>
      </w:r>
      <w:r w:rsidR="00B47CD8" w:rsidRPr="005C528E">
        <w:rPr>
          <w:rFonts w:ascii="Cambria" w:hAnsi="Cambria"/>
          <w:color w:val="000000" w:themeColor="text1"/>
          <w:sz w:val="28"/>
          <w:szCs w:val="28"/>
        </w:rPr>
        <w:t xml:space="preserve">students </w:t>
      </w:r>
      <w:r w:rsidRPr="005C528E">
        <w:rPr>
          <w:rFonts w:ascii="Cambria" w:hAnsi="Cambria"/>
          <w:color w:val="000000" w:themeColor="text1"/>
          <w:sz w:val="28"/>
          <w:szCs w:val="28"/>
        </w:rPr>
        <w:t>get to</w:t>
      </w:r>
      <w:r w:rsidR="005C528E" w:rsidRPr="005C528E">
        <w:rPr>
          <w:rFonts w:ascii="Cambria" w:hAnsi="Cambria"/>
          <w:color w:val="000000" w:themeColor="text1"/>
          <w:sz w:val="28"/>
          <w:szCs w:val="28"/>
        </w:rPr>
        <w:t>-</w:t>
      </w:r>
      <w:r w:rsidRPr="005C528E">
        <w:rPr>
          <w:rFonts w:ascii="Cambria" w:hAnsi="Cambria"/>
          <w:color w:val="000000" w:themeColor="text1"/>
          <w:sz w:val="28"/>
          <w:szCs w:val="28"/>
        </w:rPr>
        <w:t>and</w:t>
      </w:r>
      <w:r w:rsidR="005C528E" w:rsidRPr="005C528E">
        <w:rPr>
          <w:rFonts w:ascii="Cambria" w:hAnsi="Cambria"/>
          <w:color w:val="000000" w:themeColor="text1"/>
          <w:sz w:val="28"/>
          <w:szCs w:val="28"/>
        </w:rPr>
        <w:t>-</w:t>
      </w:r>
      <w:r w:rsidRPr="005C528E">
        <w:rPr>
          <w:rFonts w:ascii="Cambria" w:hAnsi="Cambria"/>
          <w:color w:val="000000" w:themeColor="text1"/>
          <w:sz w:val="28"/>
          <w:szCs w:val="28"/>
        </w:rPr>
        <w:t>through college-level mathematics more successfully.</w:t>
      </w:r>
      <w:r w:rsidR="007A1CB7" w:rsidRPr="005C528E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03ED4C0" w14:textId="77777777" w:rsidR="00221530" w:rsidRPr="005C528E" w:rsidRDefault="00221530" w:rsidP="007A1CB7">
      <w:pPr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88CFBCA" w14:textId="3C09874D" w:rsidR="007A1CB7" w:rsidRPr="005C528E" w:rsidRDefault="005C061D" w:rsidP="007A1CB7">
      <w:pPr>
        <w:rPr>
          <w:rFonts w:ascii="Cambria" w:hAnsi="Cambria" w:cstheme="minorHAnsi"/>
          <w:color w:val="000000" w:themeColor="text1"/>
          <w:sz w:val="28"/>
          <w:szCs w:val="28"/>
        </w:rPr>
      </w:pP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Each institution</w:t>
      </w:r>
      <w:r w:rsidR="005B779C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B47CD8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should </w:t>
      </w:r>
      <w:r w:rsidR="005714B9" w:rsidRPr="005C528E">
        <w:rPr>
          <w:rFonts w:ascii="Cambria" w:hAnsi="Cambria" w:cstheme="minorHAnsi"/>
          <w:color w:val="000000" w:themeColor="text1"/>
          <w:sz w:val="28"/>
          <w:szCs w:val="28"/>
        </w:rPr>
        <w:t>bring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a team of</w:t>
      </w:r>
      <w:r w:rsidR="00B026A1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B47CD8" w:rsidRPr="005C528E">
        <w:rPr>
          <w:rFonts w:ascii="Cambria" w:hAnsi="Cambria" w:cstheme="minorHAnsi"/>
          <w:color w:val="000000" w:themeColor="text1"/>
          <w:sz w:val="28"/>
          <w:szCs w:val="28"/>
        </w:rPr>
        <w:t>3-5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people</w:t>
      </w:r>
      <w:r w:rsidR="00262CCB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including:</w:t>
      </w:r>
    </w:p>
    <w:p w14:paraId="23A42D68" w14:textId="76B72936" w:rsidR="00262CCB" w:rsidRPr="005C528E" w:rsidRDefault="00B47CD8" w:rsidP="00590593">
      <w:pPr>
        <w:pStyle w:val="ListParagraph"/>
        <w:numPr>
          <w:ilvl w:val="0"/>
          <w:numId w:val="1"/>
        </w:numPr>
        <w:rPr>
          <w:rFonts w:ascii="Cambria" w:hAnsi="Cambria" w:cstheme="minorHAnsi"/>
          <w:color w:val="000000" w:themeColor="text1"/>
          <w:sz w:val="28"/>
          <w:szCs w:val="28"/>
        </w:rPr>
      </w:pP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Mathematics faculty members</w:t>
      </w:r>
      <w:r w:rsidR="00D51D60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who teach developmental mathematics</w:t>
      </w:r>
      <w:r w:rsidR="00590593" w:rsidRPr="005C528E">
        <w:rPr>
          <w:rFonts w:ascii="Cambria" w:hAnsi="Cambria" w:cstheme="minorHAnsi"/>
          <w:color w:val="000000" w:themeColor="text1"/>
          <w:sz w:val="28"/>
          <w:szCs w:val="28"/>
        </w:rPr>
        <w:t>,</w:t>
      </w:r>
      <w:r w:rsidR="00262CCB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E0232F" w:rsidRPr="005C528E">
        <w:rPr>
          <w:rFonts w:ascii="Cambria" w:hAnsi="Cambria" w:cstheme="minorHAnsi"/>
          <w:color w:val="000000" w:themeColor="text1"/>
          <w:sz w:val="28"/>
          <w:szCs w:val="28"/>
        </w:rPr>
        <w:t>statistics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, college algebra</w:t>
      </w:r>
      <w:r w:rsidR="00D51D60" w:rsidRPr="005C528E">
        <w:rPr>
          <w:rFonts w:ascii="Cambria" w:hAnsi="Cambria" w:cstheme="minorHAnsi"/>
          <w:color w:val="000000" w:themeColor="text1"/>
          <w:sz w:val="28"/>
          <w:szCs w:val="28"/>
        </w:rPr>
        <w:t>,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and</w:t>
      </w:r>
      <w:r w:rsidR="00D51D60" w:rsidRPr="005C528E">
        <w:rPr>
          <w:rFonts w:ascii="Cambria" w:hAnsi="Cambria" w:cstheme="minorHAnsi"/>
          <w:color w:val="000000" w:themeColor="text1"/>
          <w:sz w:val="28"/>
          <w:szCs w:val="28"/>
        </w:rPr>
        <w:t>/or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quantitative reasoning courses</w:t>
      </w:r>
    </w:p>
    <w:p w14:paraId="53BCF462" w14:textId="29DAE706" w:rsidR="00AE3CC0" w:rsidRPr="005C528E" w:rsidRDefault="00B47CD8" w:rsidP="00262CCB">
      <w:pPr>
        <w:pStyle w:val="ListParagraph"/>
        <w:numPr>
          <w:ilvl w:val="0"/>
          <w:numId w:val="1"/>
        </w:numPr>
        <w:rPr>
          <w:rFonts w:ascii="Cambria" w:hAnsi="Cambria" w:cstheme="minorHAnsi"/>
          <w:color w:val="000000" w:themeColor="text1"/>
          <w:sz w:val="28"/>
          <w:szCs w:val="28"/>
        </w:rPr>
      </w:pP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Academic and students services administrators, advisors and institutional researchers</w:t>
      </w:r>
    </w:p>
    <w:p w14:paraId="28788B0E" w14:textId="77777777" w:rsidR="00221530" w:rsidRPr="005C528E" w:rsidRDefault="00221530" w:rsidP="00262CCB">
      <w:pPr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6779376" w14:textId="35ADE9BB" w:rsidR="008C0750" w:rsidRPr="005C528E" w:rsidRDefault="001E54C8" w:rsidP="00262CCB">
      <w:pPr>
        <w:rPr>
          <w:rFonts w:ascii="Cambria" w:hAnsi="Cambria"/>
          <w:color w:val="000000"/>
          <w:sz w:val="28"/>
          <w:szCs w:val="28"/>
        </w:rPr>
      </w:pP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T</w:t>
      </w:r>
      <w:r w:rsidR="00DD7E78" w:rsidRPr="005C528E">
        <w:rPr>
          <w:rFonts w:ascii="Cambria" w:hAnsi="Cambria" w:cstheme="minorHAnsi"/>
          <w:color w:val="000000" w:themeColor="text1"/>
          <w:sz w:val="28"/>
          <w:szCs w:val="28"/>
        </w:rPr>
        <w:t>hrough this interactive workshop, t</w:t>
      </w:r>
      <w:r w:rsidR="005714B9" w:rsidRPr="005C528E">
        <w:rPr>
          <w:rFonts w:ascii="Cambria" w:hAnsi="Cambria" w:cstheme="minorHAnsi"/>
          <w:color w:val="000000" w:themeColor="text1"/>
          <w:sz w:val="28"/>
          <w:szCs w:val="28"/>
        </w:rPr>
        <w:t>eams will</w:t>
      </w:r>
      <w:r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5714B9" w:rsidRPr="005C528E">
        <w:rPr>
          <w:rFonts w:ascii="Cambria" w:hAnsi="Cambria"/>
          <w:color w:val="000000"/>
          <w:sz w:val="28"/>
          <w:szCs w:val="28"/>
        </w:rPr>
        <w:t xml:space="preserve">share successes and challenges from their co-requisite implementation, consider key steps in scaling up their offerings, explore strategies for continuous improvement, create short-term action plans, and learn about free tools and resources available for ongoing support of their work. </w:t>
      </w:r>
    </w:p>
    <w:p w14:paraId="6BEC7A81" w14:textId="6A24A351" w:rsidR="005C528E" w:rsidRPr="005C528E" w:rsidRDefault="005C528E" w:rsidP="00262CCB">
      <w:pPr>
        <w:rPr>
          <w:rFonts w:ascii="Cambria" w:hAnsi="Cambria"/>
          <w:color w:val="000000"/>
          <w:sz w:val="28"/>
          <w:szCs w:val="28"/>
        </w:rPr>
      </w:pPr>
    </w:p>
    <w:p w14:paraId="1A9A4F64" w14:textId="05331DB9" w:rsidR="005C528E" w:rsidRPr="005C528E" w:rsidRDefault="005C528E" w:rsidP="005C528E">
      <w:pPr>
        <w:ind w:left="720"/>
        <w:rPr>
          <w:rFonts w:ascii="Cambria" w:hAnsi="Cambria"/>
          <w:color w:val="000000"/>
          <w:sz w:val="28"/>
          <w:szCs w:val="28"/>
        </w:rPr>
      </w:pPr>
      <w:r w:rsidRPr="005C528E">
        <w:rPr>
          <w:rFonts w:ascii="Cambria" w:hAnsi="Cambria"/>
          <w:b/>
          <w:bCs/>
          <w:color w:val="833C0B" w:themeColor="accent2" w:themeShade="80"/>
          <w:sz w:val="28"/>
          <w:szCs w:val="28"/>
        </w:rPr>
        <w:t>NOTE</w:t>
      </w:r>
      <w:r w:rsidRPr="005C528E">
        <w:rPr>
          <w:rFonts w:ascii="Cambria" w:hAnsi="Cambria"/>
          <w:color w:val="000000"/>
          <w:sz w:val="28"/>
          <w:szCs w:val="28"/>
        </w:rPr>
        <w:t>: For institutions that did not attend the November 2018 Co-Requisite Workshop, we encourage you to register for the Co-Requisite Part II workshop. To prepare you to attend the Part II workshop, you are required to engage in a 2-hour webinar on October 22, 2019 at 3:00-5:00 pm PT. Post-registration details will provide more information.</w:t>
      </w:r>
    </w:p>
    <w:p w14:paraId="4759F319" w14:textId="77777777" w:rsidR="008C0750" w:rsidRPr="005C528E" w:rsidRDefault="008C0750" w:rsidP="00262CCB">
      <w:pPr>
        <w:rPr>
          <w:rFonts w:ascii="Cambria" w:hAnsi="Cambria"/>
          <w:color w:val="000000"/>
          <w:sz w:val="28"/>
          <w:szCs w:val="28"/>
        </w:rPr>
      </w:pPr>
    </w:p>
    <w:p w14:paraId="5B4DCB39" w14:textId="5C6BEED0" w:rsidR="00630D2A" w:rsidRPr="005C528E" w:rsidRDefault="008C0750" w:rsidP="00144895">
      <w:pPr>
        <w:rPr>
          <w:rFonts w:ascii="Cambria" w:hAnsi="Cambria" w:cstheme="minorHAnsi"/>
          <w:color w:val="000000" w:themeColor="text1"/>
          <w:sz w:val="28"/>
          <w:szCs w:val="28"/>
        </w:rPr>
      </w:pPr>
      <w:r w:rsidRPr="005C528E">
        <w:rPr>
          <w:rFonts w:ascii="Cambria" w:hAnsi="Cambria" w:cstheme="minorHAnsi"/>
          <w:color w:val="000000" w:themeColor="text1"/>
          <w:sz w:val="28"/>
          <w:szCs w:val="28"/>
        </w:rPr>
        <w:t>The meeting site costs and meals</w:t>
      </w:r>
      <w:r w:rsidR="00EE310E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are covered; your only costs are</w:t>
      </w:r>
      <w:r w:rsidR="005924EB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travel to and from the event</w:t>
      </w:r>
      <w:r w:rsidR="00EE310E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and lodging the night before if you need to arrive early</w:t>
      </w:r>
      <w:r w:rsidR="005924EB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. </w:t>
      </w:r>
      <w:r w:rsidR="00E62441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Individuals </w:t>
      </w:r>
      <w:r w:rsidR="0033234A" w:rsidRPr="005C528E">
        <w:rPr>
          <w:rFonts w:ascii="Cambria" w:hAnsi="Cambria" w:cstheme="minorHAnsi"/>
          <w:color w:val="000000" w:themeColor="text1"/>
          <w:sz w:val="28"/>
          <w:szCs w:val="28"/>
        </w:rPr>
        <w:t>need to register through the link</w:t>
      </w:r>
      <w:r w:rsidR="00315FE7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available </w:t>
      </w:r>
      <w:r w:rsidR="00144895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on our new </w:t>
      </w:r>
      <w:hyperlink r:id="rId7" w:history="1">
        <w:r w:rsidR="00144895" w:rsidRPr="005C528E">
          <w:rPr>
            <w:rStyle w:val="Hyperlink"/>
            <w:rFonts w:ascii="Cambria" w:hAnsi="Cambria" w:cstheme="minorHAnsi"/>
            <w:sz w:val="28"/>
            <w:szCs w:val="28"/>
          </w:rPr>
          <w:t>Dana Center Washington math pathways dashboard</w:t>
        </w:r>
      </w:hyperlink>
      <w:r w:rsidRPr="005C528E">
        <w:rPr>
          <w:rFonts w:ascii="Cambria" w:hAnsi="Cambria" w:cstheme="minorHAnsi"/>
          <w:color w:val="000000" w:themeColor="text1"/>
          <w:sz w:val="28"/>
          <w:szCs w:val="28"/>
        </w:rPr>
        <w:t>; p</w:t>
      </w:r>
      <w:r w:rsidR="00AE3CC0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lease contact </w:t>
      </w:r>
      <w:hyperlink r:id="rId8" w:history="1">
        <w:r w:rsidR="00AE3CC0" w:rsidRPr="005C528E">
          <w:rPr>
            <w:rStyle w:val="Hyperlink"/>
            <w:rFonts w:ascii="Cambria" w:hAnsi="Cambria" w:cstheme="minorHAnsi"/>
            <w:sz w:val="28"/>
            <w:szCs w:val="28"/>
          </w:rPr>
          <w:t>Bill Moore</w:t>
        </w:r>
      </w:hyperlink>
      <w:r w:rsidR="00AE3CC0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144895" w:rsidRPr="005C528E">
        <w:rPr>
          <w:rFonts w:ascii="Cambria" w:hAnsi="Cambria" w:cstheme="minorHAnsi"/>
          <w:color w:val="000000" w:themeColor="text1"/>
          <w:sz w:val="28"/>
          <w:szCs w:val="28"/>
        </w:rPr>
        <w:t xml:space="preserve">for if you have any questions. </w:t>
      </w:r>
      <w:r w:rsidR="0033234A" w:rsidRPr="005C528E">
        <w:rPr>
          <w:rFonts w:ascii="Cambria" w:hAnsi="Cambria" w:cstheme="minorHAnsi"/>
          <w:color w:val="000000" w:themeColor="text1"/>
          <w:sz w:val="28"/>
          <w:szCs w:val="28"/>
          <w:highlight w:val="yellow"/>
        </w:rPr>
        <w:t xml:space="preserve">The deadline is October </w:t>
      </w:r>
      <w:proofErr w:type="gramStart"/>
      <w:r w:rsidR="0033234A" w:rsidRPr="005C528E">
        <w:rPr>
          <w:rFonts w:ascii="Cambria" w:hAnsi="Cambria" w:cstheme="minorHAnsi"/>
          <w:color w:val="000000" w:themeColor="text1"/>
          <w:sz w:val="28"/>
          <w:szCs w:val="28"/>
          <w:highlight w:val="yellow"/>
        </w:rPr>
        <w:t>1</w:t>
      </w:r>
      <w:r w:rsidR="0033234A" w:rsidRPr="005C528E">
        <w:rPr>
          <w:rFonts w:ascii="Cambria" w:hAnsi="Cambria" w:cstheme="minorHAnsi"/>
          <w:color w:val="000000" w:themeColor="text1"/>
          <w:sz w:val="28"/>
          <w:szCs w:val="28"/>
          <w:highlight w:val="yellow"/>
          <w:vertAlign w:val="superscript"/>
        </w:rPr>
        <w:t>st</w:t>
      </w:r>
      <w:proofErr w:type="gramEnd"/>
      <w:r w:rsidR="0033234A" w:rsidRPr="005C528E">
        <w:rPr>
          <w:rFonts w:ascii="Cambria" w:hAnsi="Cambria" w:cstheme="minorHAnsi"/>
          <w:color w:val="000000" w:themeColor="text1"/>
          <w:sz w:val="28"/>
          <w:szCs w:val="28"/>
          <w:highlight w:val="yellow"/>
        </w:rPr>
        <w:t xml:space="preserve"> but the workshop will likely fill so if your college is interested get your team registered as soon as you can!</w:t>
      </w:r>
    </w:p>
    <w:sectPr w:rsidR="00630D2A" w:rsidRPr="005C528E" w:rsidSect="00630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00C"/>
    <w:multiLevelType w:val="hybridMultilevel"/>
    <w:tmpl w:val="0AD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77B"/>
    <w:multiLevelType w:val="hybridMultilevel"/>
    <w:tmpl w:val="471A308C"/>
    <w:lvl w:ilvl="0" w:tplc="ED824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06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22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C5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0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6B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AD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1"/>
    <w:rsid w:val="00026D3A"/>
    <w:rsid w:val="00045B48"/>
    <w:rsid w:val="00055B99"/>
    <w:rsid w:val="00067CCC"/>
    <w:rsid w:val="000C750F"/>
    <w:rsid w:val="00102F37"/>
    <w:rsid w:val="00144895"/>
    <w:rsid w:val="00170800"/>
    <w:rsid w:val="001E54C8"/>
    <w:rsid w:val="001F3E45"/>
    <w:rsid w:val="00221530"/>
    <w:rsid w:val="0024651B"/>
    <w:rsid w:val="00262CCB"/>
    <w:rsid w:val="0030459D"/>
    <w:rsid w:val="00315FE7"/>
    <w:rsid w:val="0033234A"/>
    <w:rsid w:val="00513049"/>
    <w:rsid w:val="005714B9"/>
    <w:rsid w:val="005753D4"/>
    <w:rsid w:val="00590593"/>
    <w:rsid w:val="005924EB"/>
    <w:rsid w:val="005B779C"/>
    <w:rsid w:val="005C061D"/>
    <w:rsid w:val="005C528E"/>
    <w:rsid w:val="005C542A"/>
    <w:rsid w:val="00630D2A"/>
    <w:rsid w:val="006843FF"/>
    <w:rsid w:val="006E2501"/>
    <w:rsid w:val="007A1CB7"/>
    <w:rsid w:val="007B78C8"/>
    <w:rsid w:val="007F4160"/>
    <w:rsid w:val="007F6219"/>
    <w:rsid w:val="00804763"/>
    <w:rsid w:val="00886405"/>
    <w:rsid w:val="008C0750"/>
    <w:rsid w:val="0091382D"/>
    <w:rsid w:val="00914F62"/>
    <w:rsid w:val="00925276"/>
    <w:rsid w:val="009326DF"/>
    <w:rsid w:val="009E1C52"/>
    <w:rsid w:val="00A21DAE"/>
    <w:rsid w:val="00A24F9B"/>
    <w:rsid w:val="00A933B3"/>
    <w:rsid w:val="00AA6D5B"/>
    <w:rsid w:val="00AE3CC0"/>
    <w:rsid w:val="00B026A1"/>
    <w:rsid w:val="00B27C39"/>
    <w:rsid w:val="00B47CD8"/>
    <w:rsid w:val="00B52630"/>
    <w:rsid w:val="00B625CA"/>
    <w:rsid w:val="00BA114B"/>
    <w:rsid w:val="00BA6454"/>
    <w:rsid w:val="00BE5A8C"/>
    <w:rsid w:val="00C4481F"/>
    <w:rsid w:val="00CB0EA1"/>
    <w:rsid w:val="00CB25FA"/>
    <w:rsid w:val="00CB3061"/>
    <w:rsid w:val="00CF439F"/>
    <w:rsid w:val="00D07500"/>
    <w:rsid w:val="00D51D60"/>
    <w:rsid w:val="00DD7E78"/>
    <w:rsid w:val="00DE37B2"/>
    <w:rsid w:val="00E0232F"/>
    <w:rsid w:val="00E409C6"/>
    <w:rsid w:val="00E62441"/>
    <w:rsid w:val="00ED63C7"/>
    <w:rsid w:val="00EE310E"/>
    <w:rsid w:val="00FC57C8"/>
    <w:rsid w:val="00FD5D58"/>
    <w:rsid w:val="00FE2964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9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E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7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FE69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ore@sbct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DCMP-Wash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Getz</dc:creator>
  <cp:lastModifiedBy>Bill Moore</cp:lastModifiedBy>
  <cp:revision>2</cp:revision>
  <dcterms:created xsi:type="dcterms:W3CDTF">2019-08-09T16:58:00Z</dcterms:created>
  <dcterms:modified xsi:type="dcterms:W3CDTF">2019-08-09T16:58:00Z</dcterms:modified>
</cp:coreProperties>
</file>