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A9" w:rsidRPr="000B7715" w:rsidRDefault="002643A9" w:rsidP="00CC790F">
      <w:pPr>
        <w:jc w:val="right"/>
        <w:rPr>
          <w:b/>
          <w:sz w:val="22"/>
        </w:rPr>
      </w:pPr>
      <w:r w:rsidRPr="000B7715">
        <w:rPr>
          <w:b/>
          <w:sz w:val="22"/>
        </w:rPr>
        <w:t>SBCTC Common Messaging</w:t>
      </w:r>
      <w:r w:rsidR="00C1256C">
        <w:rPr>
          <w:b/>
          <w:sz w:val="22"/>
        </w:rPr>
        <w:t xml:space="preserve"> DRAFT</w:t>
      </w:r>
    </w:p>
    <w:p w:rsidR="002643A9" w:rsidRPr="000B7715" w:rsidRDefault="002643A9" w:rsidP="00CC790F">
      <w:pPr>
        <w:jc w:val="right"/>
        <w:rPr>
          <w:b/>
          <w:sz w:val="22"/>
        </w:rPr>
      </w:pPr>
      <w:r w:rsidRPr="000B7715">
        <w:rPr>
          <w:b/>
          <w:sz w:val="22"/>
        </w:rPr>
        <w:t>Education Division</w:t>
      </w:r>
    </w:p>
    <w:p w:rsidR="002643A9" w:rsidRDefault="00997EED" w:rsidP="00CC790F">
      <w:pPr>
        <w:jc w:val="right"/>
        <w:rPr>
          <w:b/>
          <w:sz w:val="22"/>
        </w:rPr>
      </w:pPr>
      <w:r>
        <w:rPr>
          <w:b/>
          <w:sz w:val="22"/>
        </w:rPr>
        <w:t>Winter 2020</w:t>
      </w:r>
    </w:p>
    <w:p w:rsidR="002643A9" w:rsidRPr="000B7715" w:rsidRDefault="002643A9">
      <w:pPr>
        <w:rPr>
          <w:sz w:val="22"/>
        </w:rPr>
      </w:pPr>
    </w:p>
    <w:tbl>
      <w:tblPr>
        <w:tblStyle w:val="TableGrid"/>
        <w:tblW w:w="11250" w:type="dxa"/>
        <w:tblInd w:w="-275" w:type="dxa"/>
        <w:tblLook w:val="04A0" w:firstRow="1" w:lastRow="0" w:firstColumn="1" w:lastColumn="0" w:noHBand="0" w:noVBand="1"/>
      </w:tblPr>
      <w:tblGrid>
        <w:gridCol w:w="1707"/>
        <w:gridCol w:w="9543"/>
      </w:tblGrid>
      <w:tr w:rsidR="00EB234F" w:rsidRPr="000B7715" w:rsidTr="00EB234F">
        <w:tc>
          <w:tcPr>
            <w:tcW w:w="1707" w:type="dxa"/>
          </w:tcPr>
          <w:p w:rsidR="00EB234F" w:rsidRPr="000B7715" w:rsidRDefault="00EB234F" w:rsidP="007965B3">
            <w:pPr>
              <w:jc w:val="center"/>
              <w:rPr>
                <w:b/>
                <w:sz w:val="22"/>
              </w:rPr>
            </w:pPr>
            <w:r w:rsidRPr="000B7715">
              <w:rPr>
                <w:b/>
                <w:sz w:val="22"/>
              </w:rPr>
              <w:t>Topics</w:t>
            </w:r>
          </w:p>
        </w:tc>
        <w:tc>
          <w:tcPr>
            <w:tcW w:w="9543" w:type="dxa"/>
          </w:tcPr>
          <w:p w:rsidR="00EB234F" w:rsidRPr="000B7715" w:rsidRDefault="00EB234F" w:rsidP="007965B3">
            <w:pPr>
              <w:jc w:val="center"/>
              <w:rPr>
                <w:b/>
                <w:sz w:val="22"/>
              </w:rPr>
            </w:pPr>
            <w:r w:rsidRPr="000B7715">
              <w:rPr>
                <w:b/>
                <w:sz w:val="22"/>
              </w:rPr>
              <w:t>Highlights</w:t>
            </w:r>
          </w:p>
        </w:tc>
      </w:tr>
      <w:tr w:rsidR="00EB234F" w:rsidRPr="000B7715" w:rsidTr="00EB234F">
        <w:tc>
          <w:tcPr>
            <w:tcW w:w="1707" w:type="dxa"/>
            <w:shd w:val="clear" w:color="auto" w:fill="FFFFFF" w:themeFill="background1"/>
          </w:tcPr>
          <w:p w:rsidR="00EB234F" w:rsidRPr="00CE5828" w:rsidRDefault="00EB234F" w:rsidP="0060139C">
            <w:pPr>
              <w:rPr>
                <w:b/>
                <w:sz w:val="22"/>
                <w:highlight w:val="yellow"/>
              </w:rPr>
            </w:pPr>
            <w:r w:rsidRPr="00F5274A">
              <w:rPr>
                <w:b/>
                <w:sz w:val="22"/>
              </w:rPr>
              <w:t>Legislative Update</w:t>
            </w:r>
          </w:p>
        </w:tc>
        <w:tc>
          <w:tcPr>
            <w:tcW w:w="9543" w:type="dxa"/>
          </w:tcPr>
          <w:p w:rsidR="00EB234F" w:rsidRDefault="000C041D" w:rsidP="00CE192F">
            <w:pPr>
              <w:rPr>
                <w:sz w:val="22"/>
              </w:rPr>
            </w:pPr>
            <w:r>
              <w:rPr>
                <w:b/>
                <w:sz w:val="22"/>
              </w:rPr>
              <w:t xml:space="preserve">Impact of </w:t>
            </w:r>
            <w:r w:rsidR="00EB234F" w:rsidRPr="000711D1">
              <w:rPr>
                <w:b/>
                <w:sz w:val="22"/>
              </w:rPr>
              <w:t>HB #2158 Workforce Education Investment Act—dedicated revenue stream to support several initiatives supporting higher education in Washington State</w:t>
            </w:r>
            <w:r w:rsidR="00EB234F">
              <w:rPr>
                <w:sz w:val="22"/>
              </w:rPr>
              <w:t>.</w:t>
            </w:r>
          </w:p>
          <w:p w:rsidR="00EB234F" w:rsidRDefault="00EB234F" w:rsidP="00CE192F">
            <w:pPr>
              <w:rPr>
                <w:sz w:val="22"/>
              </w:rPr>
            </w:pPr>
          </w:p>
          <w:p w:rsidR="00EB234F" w:rsidRDefault="00EB234F" w:rsidP="000711D1">
            <w:pPr>
              <w:rPr>
                <w:sz w:val="22"/>
              </w:rPr>
            </w:pPr>
            <w:r w:rsidRPr="000711D1">
              <w:rPr>
                <w:b/>
                <w:i/>
                <w:sz w:val="22"/>
              </w:rPr>
              <w:t>Guided Pathways Funding:</w:t>
            </w:r>
            <w:r w:rsidRPr="00756376">
              <w:rPr>
                <w:sz w:val="22"/>
              </w:rPr>
              <w:t xml:space="preserve">  $32.1 million ($2m for FY20; $30.1 million for FY21) to implement Guided Pathways at all CTCs.</w:t>
            </w:r>
            <w:r w:rsidR="00921214">
              <w:rPr>
                <w:sz w:val="22"/>
              </w:rPr>
              <w:t xml:space="preserve"> $100,000 already distributed to the 22 institutions who have not been part of the previous funding opportunities. In Spring 2020, institutions will be asked how they spent the funds. Currently, the Guided Pathway Advisory Council, the WACTC Operating Budget Committee, and State Board members will be working on a model for distribut</w:t>
            </w:r>
            <w:r w:rsidR="000C041D">
              <w:rPr>
                <w:sz w:val="22"/>
              </w:rPr>
              <w:t>ing the second year of funding to be determined by March 2020 (anticipated).</w:t>
            </w:r>
          </w:p>
          <w:p w:rsidR="00921214" w:rsidRPr="00756376" w:rsidRDefault="00921214" w:rsidP="000711D1">
            <w:pPr>
              <w:rPr>
                <w:sz w:val="22"/>
              </w:rPr>
            </w:pPr>
          </w:p>
          <w:p w:rsidR="00B83025" w:rsidRDefault="00EB234F" w:rsidP="000711D1">
            <w:pPr>
              <w:rPr>
                <w:sz w:val="22"/>
              </w:rPr>
            </w:pPr>
            <w:r w:rsidRPr="009D2543">
              <w:rPr>
                <w:b/>
                <w:i/>
                <w:sz w:val="22"/>
              </w:rPr>
              <w:t>Career Launch Enrollments:</w:t>
            </w:r>
            <w:r w:rsidRPr="00756376">
              <w:rPr>
                <w:sz w:val="22"/>
              </w:rPr>
              <w:t xml:space="preserve">  $3 million- $1m for FY20; $2m for FY21.</w:t>
            </w:r>
            <w:r w:rsidR="00921214">
              <w:rPr>
                <w:sz w:val="22"/>
              </w:rPr>
              <w:t xml:space="preserve"> </w:t>
            </w:r>
            <w:r w:rsidR="009D2543">
              <w:rPr>
                <w:sz w:val="22"/>
              </w:rPr>
              <w:t>The first round of funding has been allocated (see table below)</w:t>
            </w:r>
            <w:r w:rsidR="00F5274A">
              <w:rPr>
                <w:sz w:val="22"/>
              </w:rPr>
              <w:t xml:space="preserve">. </w:t>
            </w:r>
          </w:p>
          <w:p w:rsidR="00B83025" w:rsidRDefault="00B83025" w:rsidP="000711D1">
            <w:pPr>
              <w:rPr>
                <w:sz w:val="22"/>
              </w:rPr>
            </w:pPr>
          </w:p>
          <w:tbl>
            <w:tblPr>
              <w:tblpPr w:leftFromText="180" w:rightFromText="180" w:vertAnchor="text" w:horzAnchor="margin" w:tblpY="-188"/>
              <w:tblOverlap w:val="never"/>
              <w:tblW w:w="9175" w:type="dxa"/>
              <w:tblLook w:val="04A0" w:firstRow="1" w:lastRow="0" w:firstColumn="1" w:lastColumn="0" w:noHBand="0" w:noVBand="1"/>
            </w:tblPr>
            <w:tblGrid>
              <w:gridCol w:w="6338"/>
              <w:gridCol w:w="734"/>
              <w:gridCol w:w="2103"/>
            </w:tblGrid>
            <w:tr w:rsidR="009D2543" w:rsidRPr="00B63C1E" w:rsidTr="009D2543">
              <w:trPr>
                <w:trHeight w:val="268"/>
              </w:trPr>
              <w:tc>
                <w:tcPr>
                  <w:tcW w:w="633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D2543" w:rsidRPr="00F5274A" w:rsidRDefault="009D2543" w:rsidP="009D2543">
                  <w:pPr>
                    <w:spacing w:line="240" w:lineRule="auto"/>
                    <w:jc w:val="center"/>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College and Program</w:t>
                  </w:r>
                </w:p>
              </w:tc>
              <w:tc>
                <w:tcPr>
                  <w:tcW w:w="734" w:type="dxa"/>
                  <w:tcBorders>
                    <w:top w:val="single" w:sz="4" w:space="0" w:color="000000"/>
                    <w:left w:val="nil"/>
                    <w:bottom w:val="single" w:sz="4" w:space="0" w:color="000000"/>
                    <w:right w:val="single" w:sz="4" w:space="0" w:color="000000"/>
                  </w:tcBorders>
                  <w:shd w:val="clear" w:color="auto" w:fill="D9E2F3" w:themeFill="accent5" w:themeFillTint="33"/>
                  <w:vAlign w:val="center"/>
                  <w:hideMark/>
                </w:tcPr>
                <w:p w:rsidR="009D2543" w:rsidRPr="00F5274A" w:rsidRDefault="009D2543" w:rsidP="009D2543">
                  <w:pPr>
                    <w:spacing w:line="240" w:lineRule="auto"/>
                    <w:jc w:val="center"/>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 FTES</w:t>
                  </w:r>
                </w:p>
              </w:tc>
              <w:tc>
                <w:tcPr>
                  <w:tcW w:w="2103" w:type="dxa"/>
                  <w:tcBorders>
                    <w:top w:val="single" w:sz="4" w:space="0" w:color="000000"/>
                    <w:left w:val="nil"/>
                    <w:bottom w:val="single" w:sz="4" w:space="0" w:color="000000"/>
                    <w:right w:val="single" w:sz="4" w:space="0" w:color="000000"/>
                  </w:tcBorders>
                  <w:shd w:val="clear" w:color="auto" w:fill="E2EFD9" w:themeFill="accent6" w:themeFillTint="33"/>
                  <w:vAlign w:val="center"/>
                  <w:hideMark/>
                </w:tcPr>
                <w:p w:rsidR="009D2543" w:rsidRPr="00F5274A" w:rsidRDefault="009D2543" w:rsidP="009D2543">
                  <w:pPr>
                    <w:spacing w:line="240" w:lineRule="auto"/>
                    <w:jc w:val="center"/>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 xml:space="preserve"> FY20 </w:t>
                  </w:r>
                </w:p>
              </w:tc>
            </w:tr>
            <w:tr w:rsidR="009D2543" w:rsidRPr="00B63C1E" w:rsidTr="009D2543">
              <w:trPr>
                <w:trHeight w:val="268"/>
              </w:trPr>
              <w:tc>
                <w:tcPr>
                  <w:tcW w:w="6338" w:type="dxa"/>
                  <w:tcBorders>
                    <w:top w:val="nil"/>
                    <w:left w:val="single" w:sz="4" w:space="0" w:color="000000"/>
                    <w:bottom w:val="single" w:sz="4" w:space="0" w:color="000000"/>
                    <w:right w:val="single" w:sz="4" w:space="0" w:color="000000"/>
                  </w:tcBorders>
                  <w:shd w:val="clear" w:color="000000" w:fill="FFFFFF"/>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Clark - Semiconductors &amp; Electronics</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18</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Cs/>
                      <w:color w:val="000000"/>
                      <w:sz w:val="20"/>
                      <w:szCs w:val="20"/>
                    </w:rPr>
                  </w:pPr>
                  <w:r w:rsidRPr="00F5274A">
                    <w:rPr>
                      <w:rFonts w:ascii="Calibri" w:eastAsia="Times New Roman" w:hAnsi="Calibri" w:cs="Calibri"/>
                      <w:bCs/>
                      <w:color w:val="000000"/>
                      <w:sz w:val="20"/>
                      <w:szCs w:val="20"/>
                    </w:rPr>
                    <w:t xml:space="preserve"> $      144,000 </w:t>
                  </w:r>
                </w:p>
              </w:tc>
            </w:tr>
            <w:tr w:rsidR="009D2543" w:rsidRPr="00B63C1E" w:rsidTr="009D2543">
              <w:trPr>
                <w:trHeight w:val="268"/>
              </w:trPr>
              <w:tc>
                <w:tcPr>
                  <w:tcW w:w="6338" w:type="dxa"/>
                  <w:tcBorders>
                    <w:top w:val="nil"/>
                    <w:left w:val="single" w:sz="4" w:space="0" w:color="000000"/>
                    <w:bottom w:val="single" w:sz="4" w:space="0" w:color="000000"/>
                    <w:right w:val="single" w:sz="4" w:space="0" w:color="000000"/>
                  </w:tcBorders>
                  <w:shd w:val="clear" w:color="000000" w:fill="FFFFFF"/>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Clover Park - HVAC/Refrigeration</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25</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Cs/>
                      <w:color w:val="000000"/>
                      <w:sz w:val="20"/>
                      <w:szCs w:val="20"/>
                    </w:rPr>
                  </w:pPr>
                  <w:r w:rsidRPr="00F5274A">
                    <w:rPr>
                      <w:rFonts w:ascii="Calibri" w:eastAsia="Times New Roman" w:hAnsi="Calibri" w:cs="Calibri"/>
                      <w:bCs/>
                      <w:color w:val="000000"/>
                      <w:sz w:val="20"/>
                      <w:szCs w:val="20"/>
                    </w:rPr>
                    <w:t xml:space="preserve"> $      200,000 </w:t>
                  </w:r>
                </w:p>
              </w:tc>
            </w:tr>
            <w:tr w:rsidR="009D2543" w:rsidRPr="00B63C1E" w:rsidTr="009D2543">
              <w:trPr>
                <w:trHeight w:val="537"/>
              </w:trPr>
              <w:tc>
                <w:tcPr>
                  <w:tcW w:w="6338" w:type="dxa"/>
                  <w:tcBorders>
                    <w:top w:val="nil"/>
                    <w:left w:val="single" w:sz="4" w:space="0" w:color="000000"/>
                    <w:bottom w:val="single" w:sz="4" w:space="0" w:color="000000"/>
                    <w:right w:val="single" w:sz="4" w:space="0" w:color="000000"/>
                  </w:tcBorders>
                  <w:shd w:val="clear" w:color="000000" w:fill="FFFFFF"/>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North Seattle - Ironworkers Apprenticeship</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29</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Cs/>
                      <w:color w:val="000000"/>
                      <w:sz w:val="20"/>
                      <w:szCs w:val="20"/>
                    </w:rPr>
                  </w:pPr>
                  <w:r w:rsidRPr="00F5274A">
                    <w:rPr>
                      <w:rFonts w:ascii="Calibri" w:eastAsia="Times New Roman" w:hAnsi="Calibri" w:cs="Calibri"/>
                      <w:bCs/>
                      <w:color w:val="000000"/>
                      <w:sz w:val="20"/>
                      <w:szCs w:val="20"/>
                    </w:rPr>
                    <w:t xml:space="preserve"> $      232,000 </w:t>
                  </w:r>
                </w:p>
              </w:tc>
            </w:tr>
            <w:tr w:rsidR="009D2543" w:rsidRPr="00B63C1E" w:rsidTr="009D2543">
              <w:trPr>
                <w:trHeight w:val="268"/>
              </w:trPr>
              <w:tc>
                <w:tcPr>
                  <w:tcW w:w="6338" w:type="dxa"/>
                  <w:tcBorders>
                    <w:top w:val="nil"/>
                    <w:left w:val="single" w:sz="4" w:space="0" w:color="000000"/>
                    <w:bottom w:val="single" w:sz="4" w:space="0" w:color="000000"/>
                    <w:right w:val="single" w:sz="4" w:space="0" w:color="000000"/>
                  </w:tcBorders>
                  <w:shd w:val="clear" w:color="000000" w:fill="FFFFFF"/>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Renton - Carpentry Apprenticeship</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20</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Cs/>
                      <w:color w:val="000000"/>
                      <w:sz w:val="20"/>
                      <w:szCs w:val="20"/>
                    </w:rPr>
                  </w:pPr>
                  <w:r w:rsidRPr="00F5274A">
                    <w:rPr>
                      <w:rFonts w:ascii="Calibri" w:eastAsia="Times New Roman" w:hAnsi="Calibri" w:cs="Calibri"/>
                      <w:bCs/>
                      <w:color w:val="000000"/>
                      <w:sz w:val="20"/>
                      <w:szCs w:val="20"/>
                    </w:rPr>
                    <w:t xml:space="preserve"> $      160,000 </w:t>
                  </w:r>
                </w:p>
              </w:tc>
            </w:tr>
            <w:tr w:rsidR="009D2543" w:rsidRPr="00B63C1E" w:rsidTr="009D2543">
              <w:trPr>
                <w:trHeight w:val="537"/>
              </w:trPr>
              <w:tc>
                <w:tcPr>
                  <w:tcW w:w="6338" w:type="dxa"/>
                  <w:tcBorders>
                    <w:top w:val="nil"/>
                    <w:left w:val="single" w:sz="4" w:space="0" w:color="000000"/>
                    <w:bottom w:val="single" w:sz="4" w:space="0" w:color="000000"/>
                    <w:right w:val="single" w:sz="4" w:space="0" w:color="000000"/>
                  </w:tcBorders>
                  <w:shd w:val="clear" w:color="auto" w:fill="auto"/>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South Seattle - Concrete Finishers Apprenticeship</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8</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Cs/>
                      <w:color w:val="000000"/>
                      <w:sz w:val="20"/>
                      <w:szCs w:val="20"/>
                    </w:rPr>
                  </w:pPr>
                  <w:r w:rsidRPr="00F5274A">
                    <w:rPr>
                      <w:rFonts w:ascii="Calibri" w:eastAsia="Times New Roman" w:hAnsi="Calibri" w:cs="Calibri"/>
                      <w:bCs/>
                      <w:color w:val="000000"/>
                      <w:sz w:val="20"/>
                      <w:szCs w:val="20"/>
                    </w:rPr>
                    <w:t xml:space="preserve"> $        64,000 </w:t>
                  </w:r>
                </w:p>
              </w:tc>
            </w:tr>
            <w:tr w:rsidR="009D2543" w:rsidRPr="00B63C1E" w:rsidTr="009D2543">
              <w:trPr>
                <w:trHeight w:val="268"/>
              </w:trPr>
              <w:tc>
                <w:tcPr>
                  <w:tcW w:w="6338" w:type="dxa"/>
                  <w:tcBorders>
                    <w:top w:val="nil"/>
                    <w:left w:val="single" w:sz="4" w:space="0" w:color="000000"/>
                    <w:bottom w:val="single" w:sz="4" w:space="0" w:color="000000"/>
                    <w:right w:val="single" w:sz="4" w:space="0" w:color="000000"/>
                  </w:tcBorders>
                  <w:shd w:val="clear" w:color="000000" w:fill="FFFFFF"/>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 xml:space="preserve">Spokane </w:t>
                  </w:r>
                  <w:r w:rsidR="00F5274A" w:rsidRPr="00F5274A">
                    <w:rPr>
                      <w:rFonts w:ascii="Calibri" w:eastAsia="Times New Roman" w:hAnsi="Calibri" w:cs="Calibri"/>
                      <w:color w:val="000000"/>
                      <w:sz w:val="20"/>
                      <w:szCs w:val="20"/>
                    </w:rPr>
                    <w:t>–</w:t>
                  </w:r>
                  <w:r w:rsidRPr="00F5274A">
                    <w:rPr>
                      <w:rFonts w:ascii="Calibri" w:eastAsia="Times New Roman" w:hAnsi="Calibri" w:cs="Calibri"/>
                      <w:color w:val="000000"/>
                      <w:sz w:val="20"/>
                      <w:szCs w:val="20"/>
                    </w:rPr>
                    <w:t xml:space="preserve"> Automotive</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2</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Cs/>
                      <w:color w:val="000000"/>
                      <w:sz w:val="20"/>
                      <w:szCs w:val="20"/>
                    </w:rPr>
                  </w:pPr>
                  <w:r w:rsidRPr="00F5274A">
                    <w:rPr>
                      <w:rFonts w:ascii="Calibri" w:eastAsia="Times New Roman" w:hAnsi="Calibri" w:cs="Calibri"/>
                      <w:bCs/>
                      <w:color w:val="000000"/>
                      <w:sz w:val="20"/>
                      <w:szCs w:val="20"/>
                    </w:rPr>
                    <w:t xml:space="preserve"> $        16,000 </w:t>
                  </w:r>
                </w:p>
              </w:tc>
            </w:tr>
            <w:tr w:rsidR="009D2543" w:rsidRPr="00B63C1E" w:rsidTr="009D2543">
              <w:trPr>
                <w:trHeight w:val="268"/>
              </w:trPr>
              <w:tc>
                <w:tcPr>
                  <w:tcW w:w="6338" w:type="dxa"/>
                  <w:tcBorders>
                    <w:top w:val="nil"/>
                    <w:left w:val="single" w:sz="4" w:space="0" w:color="000000"/>
                    <w:bottom w:val="single" w:sz="4" w:space="0" w:color="000000"/>
                    <w:right w:val="single" w:sz="4" w:space="0" w:color="000000"/>
                  </w:tcBorders>
                  <w:shd w:val="clear" w:color="000000" w:fill="FFFFFF"/>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Spokane - Ironworker Apprenticeship</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4</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Cs/>
                      <w:color w:val="000000"/>
                      <w:sz w:val="20"/>
                      <w:szCs w:val="20"/>
                    </w:rPr>
                  </w:pPr>
                  <w:r w:rsidRPr="00F5274A">
                    <w:rPr>
                      <w:rFonts w:ascii="Calibri" w:eastAsia="Times New Roman" w:hAnsi="Calibri" w:cs="Calibri"/>
                      <w:bCs/>
                      <w:color w:val="000000"/>
                      <w:sz w:val="20"/>
                      <w:szCs w:val="20"/>
                    </w:rPr>
                    <w:t xml:space="preserve"> $        32,000 </w:t>
                  </w:r>
                </w:p>
              </w:tc>
            </w:tr>
            <w:tr w:rsidR="009D2543" w:rsidRPr="00B63C1E" w:rsidTr="009D2543">
              <w:trPr>
                <w:trHeight w:val="268"/>
              </w:trPr>
              <w:tc>
                <w:tcPr>
                  <w:tcW w:w="6338" w:type="dxa"/>
                  <w:tcBorders>
                    <w:top w:val="nil"/>
                    <w:left w:val="single" w:sz="4" w:space="0" w:color="000000"/>
                    <w:bottom w:val="single" w:sz="4" w:space="0" w:color="000000"/>
                    <w:right w:val="single" w:sz="4" w:space="0" w:color="000000"/>
                  </w:tcBorders>
                  <w:shd w:val="clear" w:color="000000" w:fill="FFFFFF"/>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Spokane - Insulator Apprenticeship</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4</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Cs/>
                      <w:color w:val="000000"/>
                      <w:sz w:val="20"/>
                      <w:szCs w:val="20"/>
                    </w:rPr>
                  </w:pPr>
                  <w:r w:rsidRPr="00F5274A">
                    <w:rPr>
                      <w:rFonts w:ascii="Calibri" w:eastAsia="Times New Roman" w:hAnsi="Calibri" w:cs="Calibri"/>
                      <w:bCs/>
                      <w:color w:val="000000"/>
                      <w:sz w:val="20"/>
                      <w:szCs w:val="20"/>
                    </w:rPr>
                    <w:t xml:space="preserve"> $        32,000 </w:t>
                  </w:r>
                </w:p>
              </w:tc>
            </w:tr>
            <w:tr w:rsidR="009D2543" w:rsidRPr="00B63C1E" w:rsidTr="009D2543">
              <w:trPr>
                <w:trHeight w:val="268"/>
              </w:trPr>
              <w:tc>
                <w:tcPr>
                  <w:tcW w:w="6338" w:type="dxa"/>
                  <w:tcBorders>
                    <w:top w:val="nil"/>
                    <w:left w:val="single" w:sz="4" w:space="0" w:color="000000"/>
                    <w:bottom w:val="single" w:sz="4" w:space="0" w:color="000000"/>
                    <w:right w:val="single" w:sz="4" w:space="0" w:color="000000"/>
                  </w:tcBorders>
                  <w:shd w:val="clear" w:color="000000" w:fill="FFFFFF"/>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Spokane - Sheet Metal Apprenticeship</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4</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Cs/>
                      <w:color w:val="000000"/>
                      <w:sz w:val="20"/>
                      <w:szCs w:val="20"/>
                    </w:rPr>
                  </w:pPr>
                  <w:r w:rsidRPr="00F5274A">
                    <w:rPr>
                      <w:rFonts w:ascii="Calibri" w:eastAsia="Times New Roman" w:hAnsi="Calibri" w:cs="Calibri"/>
                      <w:bCs/>
                      <w:color w:val="000000"/>
                      <w:sz w:val="20"/>
                      <w:szCs w:val="20"/>
                    </w:rPr>
                    <w:t xml:space="preserve"> $        32,000 </w:t>
                  </w:r>
                </w:p>
              </w:tc>
            </w:tr>
            <w:tr w:rsidR="009D2543" w:rsidRPr="00B63C1E" w:rsidTr="009D2543">
              <w:trPr>
                <w:trHeight w:val="268"/>
              </w:trPr>
              <w:tc>
                <w:tcPr>
                  <w:tcW w:w="6338" w:type="dxa"/>
                  <w:tcBorders>
                    <w:top w:val="nil"/>
                    <w:left w:val="single" w:sz="4" w:space="0" w:color="000000"/>
                    <w:bottom w:val="single" w:sz="4" w:space="0" w:color="000000"/>
                    <w:right w:val="single" w:sz="4" w:space="0" w:color="000000"/>
                  </w:tcBorders>
                  <w:shd w:val="clear" w:color="000000" w:fill="FFFFFF"/>
                  <w:hideMark/>
                </w:tcPr>
                <w:p w:rsidR="009D2543" w:rsidRPr="00F5274A" w:rsidRDefault="009D2543" w:rsidP="009D2543">
                  <w:pPr>
                    <w:spacing w:line="240" w:lineRule="auto"/>
                    <w:jc w:val="right"/>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 xml:space="preserve">Total </w:t>
                  </w:r>
                </w:p>
              </w:tc>
              <w:tc>
                <w:tcPr>
                  <w:tcW w:w="734" w:type="dxa"/>
                  <w:tcBorders>
                    <w:top w:val="nil"/>
                    <w:left w:val="nil"/>
                    <w:bottom w:val="single" w:sz="4" w:space="0" w:color="000000"/>
                    <w:right w:val="single" w:sz="4" w:space="0" w:color="000000"/>
                  </w:tcBorders>
                  <w:shd w:val="clear" w:color="auto" w:fill="D9E2F3" w:themeFill="accent5" w:themeFillTint="33"/>
                  <w:hideMark/>
                </w:tcPr>
                <w:p w:rsidR="009D2543" w:rsidRPr="00F5274A" w:rsidRDefault="009D2543" w:rsidP="009D2543">
                  <w:pPr>
                    <w:spacing w:line="240" w:lineRule="auto"/>
                    <w:jc w:val="right"/>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114</w:t>
                  </w:r>
                </w:p>
              </w:tc>
              <w:tc>
                <w:tcPr>
                  <w:tcW w:w="2103" w:type="dxa"/>
                  <w:tcBorders>
                    <w:top w:val="nil"/>
                    <w:left w:val="nil"/>
                    <w:bottom w:val="single" w:sz="4" w:space="0" w:color="000000"/>
                    <w:right w:val="single" w:sz="4" w:space="0" w:color="000000"/>
                  </w:tcBorders>
                  <w:shd w:val="clear" w:color="auto" w:fill="E2EFD9" w:themeFill="accent6" w:themeFillTint="33"/>
                  <w:hideMark/>
                </w:tcPr>
                <w:p w:rsidR="009D2543" w:rsidRPr="00F5274A" w:rsidRDefault="009D2543" w:rsidP="009D2543">
                  <w:pPr>
                    <w:spacing w:line="240" w:lineRule="auto"/>
                    <w:jc w:val="center"/>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 xml:space="preserve"> $      912,000 </w:t>
                  </w:r>
                </w:p>
              </w:tc>
            </w:tr>
          </w:tbl>
          <w:p w:rsidR="009D2543" w:rsidRDefault="009C61E2" w:rsidP="009C61E2">
            <w:r w:rsidRPr="00591A26">
              <w:rPr>
                <w:b/>
              </w:rPr>
              <w:t>Supporting Student Experiencing Homelessness (SSEH) Pilot</w:t>
            </w:r>
            <w:r>
              <w:rPr>
                <w:b/>
              </w:rPr>
              <w:t>s</w:t>
            </w:r>
            <w:r w:rsidR="009D2543">
              <w:rPr>
                <w:sz w:val="22"/>
              </w:rPr>
              <w:t xml:space="preserve"> </w:t>
            </w:r>
            <w:r w:rsidR="009D2543">
              <w:t xml:space="preserve">(ESSB#5800): </w:t>
            </w:r>
          </w:p>
          <w:p w:rsidR="009C61E2" w:rsidRPr="009D2543" w:rsidRDefault="009C61E2" w:rsidP="009C61E2">
            <w:pPr>
              <w:rPr>
                <w:sz w:val="22"/>
              </w:rPr>
            </w:pPr>
            <w:r>
              <w:t>Provides two</w:t>
            </w:r>
            <w:r w:rsidR="009D2543">
              <w:t xml:space="preserve"> u</w:t>
            </w:r>
            <w:r w:rsidRPr="00931A51">
              <w:t xml:space="preserve">niversities and </w:t>
            </w:r>
            <w:r>
              <w:t>f</w:t>
            </w:r>
            <w:r w:rsidR="009D2543">
              <w:t>our community or technical c</w:t>
            </w:r>
            <w:r w:rsidRPr="00931A51">
              <w:t>olleges</w:t>
            </w:r>
            <w:r>
              <w:t xml:space="preserve"> with funding to p</w:t>
            </w:r>
            <w:r w:rsidRPr="00931A51">
              <w:t xml:space="preserve">rovide accommodations to students experiencing homelessness, housing </w:t>
            </w:r>
            <w:r w:rsidR="009D2543">
              <w:t>in</w:t>
            </w:r>
            <w:r w:rsidRPr="00931A51">
              <w:t>security or who were in the foster care system at the time of high school completion</w:t>
            </w:r>
            <w:r>
              <w:t>. Colleges must also connect students to existing community housing resources. SBCTC and W</w:t>
            </w:r>
            <w:r w:rsidR="009D2543">
              <w:t xml:space="preserve">ashington </w:t>
            </w:r>
            <w:r>
              <w:t>S</w:t>
            </w:r>
            <w:r w:rsidR="009D2543">
              <w:t xml:space="preserve">tudent </w:t>
            </w:r>
            <w:r>
              <w:t>A</w:t>
            </w:r>
            <w:r w:rsidR="009D2543">
              <w:t xml:space="preserve">chievement </w:t>
            </w:r>
            <w:r>
              <w:t>C</w:t>
            </w:r>
            <w:r w:rsidR="009D2543">
              <w:t>ouncil (WSAC)</w:t>
            </w:r>
            <w:r>
              <w:t xml:space="preserve"> will facilitate a learning community with pilot colleges. Legislation requires SBCTC to invite non-pilot colleges to parti</w:t>
            </w:r>
            <w:r w:rsidR="009D2543">
              <w:t>cipate in data collection and the non-pilot colleges</w:t>
            </w:r>
            <w:r>
              <w:t xml:space="preserve"> will also </w:t>
            </w:r>
            <w:r w:rsidR="009D2543">
              <w:t xml:space="preserve">be </w:t>
            </w:r>
            <w:r>
              <w:t>invite</w:t>
            </w:r>
            <w:r w:rsidR="009D2543">
              <w:t xml:space="preserve">d </w:t>
            </w:r>
            <w:r>
              <w:t xml:space="preserve">to participate in </w:t>
            </w:r>
            <w:r w:rsidR="009D2543">
              <w:t xml:space="preserve">these </w:t>
            </w:r>
            <w:r>
              <w:t xml:space="preserve">learning communities. </w:t>
            </w:r>
          </w:p>
          <w:tbl>
            <w:tblPr>
              <w:tblpPr w:leftFromText="180" w:rightFromText="180" w:vertAnchor="text" w:horzAnchor="page" w:tblpX="2125" w:tblpY="49"/>
              <w:tblOverlap w:val="never"/>
              <w:tblW w:w="4240" w:type="dxa"/>
              <w:tblLook w:val="04A0" w:firstRow="1" w:lastRow="0" w:firstColumn="1" w:lastColumn="0" w:noHBand="0" w:noVBand="1"/>
            </w:tblPr>
            <w:tblGrid>
              <w:gridCol w:w="1980"/>
              <w:gridCol w:w="1130"/>
              <w:gridCol w:w="1130"/>
            </w:tblGrid>
            <w:tr w:rsidR="009D2543" w:rsidRPr="00F5274A" w:rsidTr="009D2543">
              <w:trPr>
                <w:trHeight w:val="170"/>
              </w:trPr>
              <w:tc>
                <w:tcPr>
                  <w:tcW w:w="1980" w:type="dxa"/>
                  <w:tcBorders>
                    <w:top w:val="nil"/>
                    <w:left w:val="nil"/>
                    <w:bottom w:val="single" w:sz="4" w:space="0" w:color="auto"/>
                    <w:right w:val="single" w:sz="4" w:space="0" w:color="auto"/>
                  </w:tcBorders>
                  <w:shd w:val="clear" w:color="auto" w:fill="auto"/>
                  <w:noWrap/>
                  <w:vAlign w:val="bottom"/>
                  <w:hideMark/>
                </w:tcPr>
                <w:p w:rsidR="009D2543" w:rsidRPr="00F5274A" w:rsidRDefault="009D2543" w:rsidP="009D2543">
                  <w:pPr>
                    <w:spacing w:line="240" w:lineRule="auto"/>
                    <w:rPr>
                      <w:rFonts w:eastAsia="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000000" w:fill="DDEBF7"/>
                  <w:vAlign w:val="bottom"/>
                </w:tcPr>
                <w:p w:rsidR="009D2543" w:rsidRPr="00F5274A" w:rsidRDefault="009D2543" w:rsidP="009D2543">
                  <w:pPr>
                    <w:spacing w:line="240" w:lineRule="auto"/>
                    <w:jc w:val="center"/>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FY20</w:t>
                  </w:r>
                </w:p>
              </w:tc>
              <w:tc>
                <w:tcPr>
                  <w:tcW w:w="1130" w:type="dxa"/>
                  <w:tcBorders>
                    <w:top w:val="single" w:sz="4" w:space="0" w:color="auto"/>
                    <w:left w:val="single" w:sz="4" w:space="0" w:color="auto"/>
                    <w:bottom w:val="single" w:sz="4" w:space="0" w:color="auto"/>
                    <w:right w:val="single" w:sz="4" w:space="0" w:color="auto"/>
                  </w:tcBorders>
                  <w:shd w:val="clear" w:color="000000" w:fill="E2EFDA"/>
                  <w:vAlign w:val="bottom"/>
                </w:tcPr>
                <w:p w:rsidR="009D2543" w:rsidRPr="00F5274A" w:rsidRDefault="009D2543" w:rsidP="009D2543">
                  <w:pPr>
                    <w:spacing w:line="240" w:lineRule="auto"/>
                    <w:jc w:val="center"/>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FY21</w:t>
                  </w:r>
                </w:p>
              </w:tc>
            </w:tr>
            <w:tr w:rsidR="009D2543" w:rsidRPr="00F5274A" w:rsidTr="009D2543">
              <w:trPr>
                <w:trHeight w:val="70"/>
              </w:trPr>
              <w:tc>
                <w:tcPr>
                  <w:tcW w:w="4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b/>
                      <w:color w:val="000000"/>
                      <w:sz w:val="20"/>
                      <w:szCs w:val="20"/>
                    </w:rPr>
                    <w:t>West Side</w:t>
                  </w:r>
                </w:p>
              </w:tc>
            </w:tr>
            <w:tr w:rsidR="009D2543" w:rsidRPr="00F5274A" w:rsidTr="009D254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Edmonds</w:t>
                  </w:r>
                </w:p>
              </w:tc>
              <w:tc>
                <w:tcPr>
                  <w:tcW w:w="113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$50,000</w:t>
                  </w:r>
                </w:p>
              </w:tc>
              <w:tc>
                <w:tcPr>
                  <w:tcW w:w="11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$86,000</w:t>
                  </w:r>
                </w:p>
              </w:tc>
            </w:tr>
            <w:tr w:rsidR="009D2543" w:rsidRPr="00F5274A" w:rsidTr="009D254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South Puget Sound</w:t>
                  </w:r>
                </w:p>
              </w:tc>
              <w:tc>
                <w:tcPr>
                  <w:tcW w:w="113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$48,000</w:t>
                  </w:r>
                </w:p>
              </w:tc>
              <w:tc>
                <w:tcPr>
                  <w:tcW w:w="11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$83,000</w:t>
                  </w:r>
                </w:p>
              </w:tc>
            </w:tr>
            <w:tr w:rsidR="009D2543" w:rsidRPr="00F5274A" w:rsidTr="009D2543">
              <w:trPr>
                <w:trHeight w:val="70"/>
              </w:trPr>
              <w:tc>
                <w:tcPr>
                  <w:tcW w:w="4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D2543" w:rsidRPr="00F5274A" w:rsidRDefault="009D2543" w:rsidP="009D2543">
                  <w:pPr>
                    <w:spacing w:line="240" w:lineRule="auto"/>
                    <w:rPr>
                      <w:rFonts w:ascii="Calibri" w:eastAsia="Times New Roman" w:hAnsi="Calibri" w:cs="Calibri"/>
                      <w:b/>
                      <w:color w:val="000000"/>
                      <w:sz w:val="20"/>
                      <w:szCs w:val="20"/>
                    </w:rPr>
                  </w:pPr>
                  <w:r w:rsidRPr="00F5274A">
                    <w:rPr>
                      <w:rFonts w:ascii="Calibri" w:eastAsia="Times New Roman" w:hAnsi="Calibri" w:cs="Calibri"/>
                      <w:b/>
                      <w:color w:val="000000"/>
                      <w:sz w:val="20"/>
                      <w:szCs w:val="20"/>
                    </w:rPr>
                    <w:t>East Side</w:t>
                  </w:r>
                </w:p>
              </w:tc>
            </w:tr>
            <w:tr w:rsidR="009D2543" w:rsidRPr="00F5274A" w:rsidTr="009D2543">
              <w:trPr>
                <w:trHeight w:val="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East #1</w:t>
                  </w:r>
                </w:p>
              </w:tc>
              <w:tc>
                <w:tcPr>
                  <w:tcW w:w="113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$39,000</w:t>
                  </w:r>
                </w:p>
              </w:tc>
              <w:tc>
                <w:tcPr>
                  <w:tcW w:w="113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$71,000</w:t>
                  </w:r>
                </w:p>
              </w:tc>
            </w:tr>
            <w:tr w:rsidR="009D2543" w:rsidRPr="00F5274A" w:rsidTr="009D2543">
              <w:trPr>
                <w:trHeight w:val="70"/>
              </w:trPr>
              <w:tc>
                <w:tcPr>
                  <w:tcW w:w="198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9D2543" w:rsidRPr="00F5274A" w:rsidRDefault="009D2543" w:rsidP="009D2543">
                  <w:pPr>
                    <w:spacing w:line="240" w:lineRule="auto"/>
                    <w:rPr>
                      <w:rFonts w:ascii="Calibri" w:eastAsia="Times New Roman" w:hAnsi="Calibri" w:cs="Calibri"/>
                      <w:color w:val="000000"/>
                      <w:sz w:val="20"/>
                      <w:szCs w:val="20"/>
                    </w:rPr>
                  </w:pPr>
                  <w:r w:rsidRPr="00F5274A">
                    <w:rPr>
                      <w:rFonts w:ascii="Calibri" w:eastAsia="Times New Roman" w:hAnsi="Calibri" w:cs="Calibri"/>
                      <w:color w:val="000000"/>
                      <w:sz w:val="20"/>
                      <w:szCs w:val="20"/>
                    </w:rPr>
                    <w:t>East #2</w:t>
                  </w:r>
                </w:p>
              </w:tc>
              <w:tc>
                <w:tcPr>
                  <w:tcW w:w="1130" w:type="dxa"/>
                  <w:tcBorders>
                    <w:top w:val="single" w:sz="4" w:space="0" w:color="auto"/>
                    <w:left w:val="single" w:sz="4" w:space="0" w:color="auto"/>
                    <w:bottom w:val="double" w:sz="4" w:space="0" w:color="auto"/>
                    <w:right w:val="single" w:sz="4" w:space="0" w:color="auto"/>
                  </w:tcBorders>
                  <w:shd w:val="clear" w:color="000000" w:fill="DDEBF7"/>
                  <w:noWrap/>
                  <w:vAlign w:val="bottom"/>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$39,000</w:t>
                  </w:r>
                </w:p>
              </w:tc>
              <w:tc>
                <w:tcPr>
                  <w:tcW w:w="1130" w:type="dxa"/>
                  <w:tcBorders>
                    <w:top w:val="single" w:sz="4" w:space="0" w:color="auto"/>
                    <w:left w:val="single" w:sz="4" w:space="0" w:color="auto"/>
                    <w:bottom w:val="double" w:sz="4" w:space="0" w:color="auto"/>
                    <w:right w:val="single" w:sz="4" w:space="0" w:color="auto"/>
                  </w:tcBorders>
                  <w:shd w:val="clear" w:color="000000" w:fill="E2EFDA"/>
                  <w:noWrap/>
                  <w:vAlign w:val="bottom"/>
                  <w:hideMark/>
                </w:tcPr>
                <w:p w:rsidR="009D2543" w:rsidRPr="00F5274A" w:rsidRDefault="009D2543" w:rsidP="009D2543">
                  <w:pPr>
                    <w:spacing w:line="240" w:lineRule="auto"/>
                    <w:jc w:val="right"/>
                    <w:rPr>
                      <w:rFonts w:ascii="Calibri" w:eastAsia="Times New Roman" w:hAnsi="Calibri" w:cs="Calibri"/>
                      <w:color w:val="000000"/>
                      <w:sz w:val="20"/>
                      <w:szCs w:val="20"/>
                    </w:rPr>
                  </w:pPr>
                  <w:r w:rsidRPr="00F5274A">
                    <w:rPr>
                      <w:rFonts w:ascii="Calibri" w:eastAsia="Times New Roman" w:hAnsi="Calibri" w:cs="Calibri"/>
                      <w:color w:val="000000"/>
                      <w:sz w:val="20"/>
                      <w:szCs w:val="20"/>
                    </w:rPr>
                    <w:t>$71,000</w:t>
                  </w:r>
                </w:p>
              </w:tc>
            </w:tr>
            <w:tr w:rsidR="009D2543" w:rsidRPr="00F5274A" w:rsidTr="009D2543">
              <w:trPr>
                <w:trHeight w:val="50"/>
              </w:trPr>
              <w:tc>
                <w:tcPr>
                  <w:tcW w:w="1980" w:type="dxa"/>
                  <w:tcBorders>
                    <w:top w:val="double" w:sz="4" w:space="0" w:color="auto"/>
                    <w:left w:val="nil"/>
                    <w:bottom w:val="single" w:sz="4" w:space="0" w:color="auto"/>
                    <w:right w:val="nil"/>
                  </w:tcBorders>
                  <w:shd w:val="clear" w:color="auto" w:fill="auto"/>
                  <w:noWrap/>
                  <w:vAlign w:val="bottom"/>
                  <w:hideMark/>
                </w:tcPr>
                <w:p w:rsidR="009D2543" w:rsidRPr="00F5274A" w:rsidRDefault="009D2543" w:rsidP="009D2543">
                  <w:pPr>
                    <w:spacing w:line="240" w:lineRule="auto"/>
                    <w:jc w:val="right"/>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Totals</w:t>
                  </w:r>
                </w:p>
              </w:tc>
              <w:tc>
                <w:tcPr>
                  <w:tcW w:w="1130" w:type="dxa"/>
                  <w:tcBorders>
                    <w:top w:val="double" w:sz="4" w:space="0" w:color="auto"/>
                    <w:left w:val="nil"/>
                    <w:bottom w:val="single" w:sz="4" w:space="0" w:color="auto"/>
                    <w:right w:val="nil"/>
                  </w:tcBorders>
                  <w:shd w:val="clear" w:color="000000" w:fill="DDEBF7"/>
                  <w:noWrap/>
                  <w:vAlign w:val="bottom"/>
                  <w:hideMark/>
                </w:tcPr>
                <w:p w:rsidR="009D2543" w:rsidRPr="00F5274A" w:rsidRDefault="009D2543" w:rsidP="009D2543">
                  <w:pPr>
                    <w:spacing w:line="240" w:lineRule="auto"/>
                    <w:jc w:val="right"/>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$176,000</w:t>
                  </w:r>
                </w:p>
              </w:tc>
              <w:tc>
                <w:tcPr>
                  <w:tcW w:w="1130" w:type="dxa"/>
                  <w:tcBorders>
                    <w:top w:val="double" w:sz="4" w:space="0" w:color="auto"/>
                    <w:left w:val="nil"/>
                    <w:bottom w:val="single" w:sz="4" w:space="0" w:color="auto"/>
                    <w:right w:val="nil"/>
                  </w:tcBorders>
                  <w:shd w:val="clear" w:color="000000" w:fill="E2EFDA"/>
                  <w:noWrap/>
                  <w:vAlign w:val="bottom"/>
                  <w:hideMark/>
                </w:tcPr>
                <w:p w:rsidR="009D2543" w:rsidRPr="00F5274A" w:rsidRDefault="009D2543" w:rsidP="009D2543">
                  <w:pPr>
                    <w:spacing w:line="240" w:lineRule="auto"/>
                    <w:jc w:val="right"/>
                    <w:rPr>
                      <w:rFonts w:ascii="Calibri" w:eastAsia="Times New Roman" w:hAnsi="Calibri" w:cs="Calibri"/>
                      <w:b/>
                      <w:bCs/>
                      <w:color w:val="000000"/>
                      <w:sz w:val="20"/>
                      <w:szCs w:val="20"/>
                    </w:rPr>
                  </w:pPr>
                  <w:r w:rsidRPr="00F5274A">
                    <w:rPr>
                      <w:rFonts w:ascii="Calibri" w:eastAsia="Times New Roman" w:hAnsi="Calibri" w:cs="Calibri"/>
                      <w:b/>
                      <w:bCs/>
                      <w:color w:val="000000"/>
                      <w:sz w:val="20"/>
                      <w:szCs w:val="20"/>
                    </w:rPr>
                    <w:t>$311,000</w:t>
                  </w:r>
                </w:p>
              </w:tc>
            </w:tr>
          </w:tbl>
          <w:p w:rsidR="009C61E2" w:rsidRPr="00F5274A" w:rsidRDefault="009C61E2" w:rsidP="000C041D">
            <w:pPr>
              <w:rPr>
                <w:sz w:val="20"/>
                <w:szCs w:val="20"/>
              </w:rPr>
            </w:pPr>
          </w:p>
          <w:p w:rsidR="009D2543" w:rsidRPr="00F5274A" w:rsidRDefault="009D2543" w:rsidP="000C041D">
            <w:pPr>
              <w:rPr>
                <w:sz w:val="20"/>
                <w:szCs w:val="20"/>
              </w:rPr>
            </w:pPr>
          </w:p>
          <w:p w:rsidR="009D2543" w:rsidRPr="00F5274A" w:rsidRDefault="009D2543" w:rsidP="000C041D">
            <w:pPr>
              <w:rPr>
                <w:sz w:val="20"/>
                <w:szCs w:val="20"/>
              </w:rPr>
            </w:pPr>
          </w:p>
          <w:p w:rsidR="009D2543" w:rsidRPr="00F5274A" w:rsidRDefault="009D2543" w:rsidP="000C041D">
            <w:pPr>
              <w:rPr>
                <w:sz w:val="20"/>
                <w:szCs w:val="20"/>
              </w:rPr>
            </w:pPr>
          </w:p>
          <w:p w:rsidR="009D2543" w:rsidRPr="00F5274A" w:rsidRDefault="009D2543" w:rsidP="000C041D">
            <w:pPr>
              <w:rPr>
                <w:sz w:val="20"/>
                <w:szCs w:val="20"/>
              </w:rPr>
            </w:pPr>
          </w:p>
          <w:p w:rsidR="009D2543" w:rsidRPr="00F5274A" w:rsidRDefault="009D2543" w:rsidP="000C041D">
            <w:pPr>
              <w:rPr>
                <w:sz w:val="20"/>
                <w:szCs w:val="20"/>
              </w:rPr>
            </w:pPr>
          </w:p>
          <w:p w:rsidR="009D2543" w:rsidRPr="00F5274A" w:rsidRDefault="009D2543" w:rsidP="000C041D">
            <w:pPr>
              <w:rPr>
                <w:sz w:val="20"/>
                <w:szCs w:val="20"/>
              </w:rPr>
            </w:pPr>
          </w:p>
          <w:p w:rsidR="009D2543" w:rsidRPr="00F5274A" w:rsidRDefault="009D2543" w:rsidP="000C041D">
            <w:pPr>
              <w:rPr>
                <w:sz w:val="20"/>
                <w:szCs w:val="20"/>
              </w:rPr>
            </w:pPr>
          </w:p>
          <w:p w:rsidR="009D2543" w:rsidRPr="00F5274A" w:rsidRDefault="009D2543" w:rsidP="000C041D">
            <w:pPr>
              <w:rPr>
                <w:sz w:val="20"/>
                <w:szCs w:val="20"/>
              </w:rPr>
            </w:pPr>
          </w:p>
          <w:p w:rsidR="009D2543" w:rsidRPr="00F5274A" w:rsidRDefault="009D2543" w:rsidP="000C041D">
            <w:pPr>
              <w:rPr>
                <w:sz w:val="20"/>
                <w:szCs w:val="20"/>
              </w:rPr>
            </w:pPr>
          </w:p>
          <w:p w:rsidR="00EB234F" w:rsidRPr="00F5274A" w:rsidRDefault="00EB234F" w:rsidP="000711D1">
            <w:pPr>
              <w:rPr>
                <w:sz w:val="20"/>
                <w:szCs w:val="20"/>
              </w:rPr>
            </w:pPr>
            <w:r w:rsidRPr="006F1E7F">
              <w:rPr>
                <w:b/>
                <w:sz w:val="22"/>
              </w:rPr>
              <w:t>Washington College Grant:</w:t>
            </w:r>
            <w:r w:rsidRPr="00756376">
              <w:rPr>
                <w:sz w:val="22"/>
              </w:rPr>
              <w:t xml:space="preserve">  $190 million for financial aid.  The State Need Grant is replaced by the Washington College Grant (WCG). These new investments will:</w:t>
            </w:r>
          </w:p>
          <w:p w:rsidR="00EB234F" w:rsidRPr="00756376" w:rsidRDefault="00EB234F" w:rsidP="00756376">
            <w:pPr>
              <w:numPr>
                <w:ilvl w:val="1"/>
                <w:numId w:val="21"/>
              </w:numPr>
              <w:rPr>
                <w:sz w:val="22"/>
              </w:rPr>
            </w:pPr>
            <w:r w:rsidRPr="00756376">
              <w:rPr>
                <w:sz w:val="22"/>
              </w:rPr>
              <w:t xml:space="preserve">Increase awards with tuition to hold students harmless from tuition and fee increases.  </w:t>
            </w:r>
          </w:p>
          <w:p w:rsidR="00EB234F" w:rsidRPr="00756376" w:rsidRDefault="00EB234F" w:rsidP="00756376">
            <w:pPr>
              <w:numPr>
                <w:ilvl w:val="1"/>
                <w:numId w:val="21"/>
              </w:numPr>
              <w:rPr>
                <w:sz w:val="22"/>
              </w:rPr>
            </w:pPr>
            <w:r w:rsidRPr="00756376">
              <w:rPr>
                <w:sz w:val="22"/>
              </w:rPr>
              <w:t xml:space="preserve">Reduce the waitlist by one-third in 2019-20 and eliminate the waitlist in 2020-21.  </w:t>
            </w:r>
          </w:p>
          <w:p w:rsidR="00EB234F" w:rsidRDefault="00EB234F" w:rsidP="00CE192F">
            <w:pPr>
              <w:numPr>
                <w:ilvl w:val="1"/>
                <w:numId w:val="21"/>
              </w:numPr>
              <w:rPr>
                <w:sz w:val="22"/>
              </w:rPr>
            </w:pPr>
            <w:r w:rsidRPr="00756376">
              <w:rPr>
                <w:sz w:val="22"/>
              </w:rPr>
              <w:t>Expand eligibility from 70% to 100% of median family income in 2020-21.</w:t>
            </w:r>
          </w:p>
          <w:p w:rsidR="00921214" w:rsidRPr="000C041D" w:rsidRDefault="00921214" w:rsidP="00921214">
            <w:pPr>
              <w:rPr>
                <w:i/>
                <w:sz w:val="22"/>
              </w:rPr>
            </w:pPr>
            <w:r>
              <w:rPr>
                <w:sz w:val="22"/>
              </w:rPr>
              <w:t xml:space="preserve">The SBCTC is working with WSAC and other stakeholders to get ready for the coming year’s distribution and to encourage students to complete the FAFSA. </w:t>
            </w:r>
            <w:r w:rsidR="000C041D" w:rsidRPr="000C041D">
              <w:rPr>
                <w:i/>
                <w:sz w:val="22"/>
              </w:rPr>
              <w:t xml:space="preserve">*See section on Financial Aid Train the Trainer. </w:t>
            </w:r>
          </w:p>
          <w:p w:rsidR="008B0B6A" w:rsidRPr="000C041D" w:rsidRDefault="008B0B6A" w:rsidP="000711D1">
            <w:pPr>
              <w:rPr>
                <w:b/>
                <w:sz w:val="22"/>
              </w:rPr>
            </w:pPr>
          </w:p>
          <w:p w:rsidR="00EB234F" w:rsidRPr="00756376" w:rsidRDefault="00EB234F" w:rsidP="000711D1">
            <w:pPr>
              <w:rPr>
                <w:sz w:val="22"/>
              </w:rPr>
            </w:pPr>
            <w:r w:rsidRPr="000711D1">
              <w:rPr>
                <w:b/>
                <w:sz w:val="22"/>
              </w:rPr>
              <w:t>High Demand Faculty Salary Increases:</w:t>
            </w:r>
            <w:r w:rsidRPr="00756376">
              <w:rPr>
                <w:sz w:val="22"/>
              </w:rPr>
              <w:t xml:space="preserve"> $20 million is provided in FY21 to increase salaries of local</w:t>
            </w:r>
            <w:r w:rsidR="006F1E7F">
              <w:rPr>
                <w:sz w:val="22"/>
              </w:rPr>
              <w:t xml:space="preserve">ly defined high demand faculty. WACTC, through its Operating Budget Committee, </w:t>
            </w:r>
            <w:r w:rsidR="008B0B6A" w:rsidRPr="006F1E7F">
              <w:rPr>
                <w:sz w:val="22"/>
              </w:rPr>
              <w:t xml:space="preserve">is convening a </w:t>
            </w:r>
            <w:r w:rsidR="007B3320" w:rsidRPr="006F1E7F">
              <w:rPr>
                <w:sz w:val="22"/>
              </w:rPr>
              <w:t>work group to determine what is high demand or to revise what has been previously defined as high demand.</w:t>
            </w:r>
            <w:r w:rsidR="007B3320">
              <w:rPr>
                <w:sz w:val="22"/>
              </w:rPr>
              <w:t xml:space="preserve"> </w:t>
            </w:r>
            <w:r w:rsidR="006F1E7F">
              <w:rPr>
                <w:sz w:val="22"/>
              </w:rPr>
              <w:t xml:space="preserve">A decision about the definition is anticipated to be voted on at the February WACTC meeting. </w:t>
            </w:r>
          </w:p>
          <w:p w:rsidR="00EB234F" w:rsidRPr="00756376" w:rsidRDefault="00EB234F" w:rsidP="007B3320">
            <w:pPr>
              <w:rPr>
                <w:sz w:val="22"/>
              </w:rPr>
            </w:pPr>
            <w:r w:rsidRPr="00756376">
              <w:rPr>
                <w:sz w:val="22"/>
              </w:rPr>
              <w:tab/>
            </w:r>
            <w:r w:rsidRPr="00756376">
              <w:rPr>
                <w:sz w:val="22"/>
              </w:rPr>
              <w:tab/>
            </w:r>
          </w:p>
          <w:p w:rsidR="00EB234F" w:rsidRPr="00EF0C8D" w:rsidRDefault="00EB234F" w:rsidP="00EF0C8D">
            <w:pPr>
              <w:rPr>
                <w:sz w:val="22"/>
              </w:rPr>
            </w:pPr>
            <w:r w:rsidRPr="00756376">
              <w:rPr>
                <w:b/>
                <w:sz w:val="22"/>
              </w:rPr>
              <w:t>Miscellaneous Budget Items:</w:t>
            </w:r>
          </w:p>
          <w:p w:rsidR="00EB234F" w:rsidRDefault="00EB234F" w:rsidP="000711D1">
            <w:pPr>
              <w:rPr>
                <w:b/>
                <w:sz w:val="22"/>
              </w:rPr>
            </w:pPr>
          </w:p>
          <w:p w:rsidR="00EB234F" w:rsidRPr="00EF0C8D" w:rsidRDefault="00EB234F" w:rsidP="000711D1">
            <w:pPr>
              <w:rPr>
                <w:b/>
                <w:sz w:val="22"/>
              </w:rPr>
            </w:pPr>
            <w:r w:rsidRPr="00756376">
              <w:rPr>
                <w:b/>
                <w:sz w:val="22"/>
              </w:rPr>
              <w:t xml:space="preserve">HB 1355 </w:t>
            </w:r>
            <w:r w:rsidRPr="00756376">
              <w:rPr>
                <w:sz w:val="22"/>
              </w:rPr>
              <w:t>provides for a taskforce to study student counseling, counseling staffing ratio and credentials.</w:t>
            </w:r>
            <w:r>
              <w:rPr>
                <w:sz w:val="22"/>
              </w:rPr>
              <w:t xml:space="preserve"> Convened by the leg and staffed by SBCTC.</w:t>
            </w:r>
            <w:r w:rsidR="00B9037B">
              <w:rPr>
                <w:sz w:val="22"/>
              </w:rPr>
              <w:t xml:space="preserve"> </w:t>
            </w:r>
            <w:r w:rsidR="006F1E7F">
              <w:rPr>
                <w:sz w:val="22"/>
              </w:rPr>
              <w:t>HB 1135 provides for a taskforce to study student counseling, counseling staffing ratio and credentials. Convened by the legislature and staffed by SBCTC. The taskforce has met twice and plans to meet monthly through October 2020. Sub-committees have been formed to study the three areas of focus in the bill: counselor minimum standards, best practices, and counselor/student ratios. Student Services Director, Joe Holliday, represents SBCTC on the taskforce.</w:t>
            </w:r>
            <w:r w:rsidR="007B3320">
              <w:rPr>
                <w:sz w:val="22"/>
              </w:rPr>
              <w:t xml:space="preserve"> </w:t>
            </w:r>
          </w:p>
          <w:p w:rsidR="00EB234F" w:rsidRDefault="00EB234F" w:rsidP="000711D1">
            <w:pPr>
              <w:rPr>
                <w:b/>
                <w:sz w:val="22"/>
              </w:rPr>
            </w:pPr>
          </w:p>
          <w:p w:rsidR="00EB234F" w:rsidRDefault="00EB234F" w:rsidP="000711D1">
            <w:pPr>
              <w:rPr>
                <w:sz w:val="22"/>
              </w:rPr>
            </w:pPr>
            <w:r w:rsidRPr="00756376">
              <w:rPr>
                <w:b/>
                <w:sz w:val="22"/>
              </w:rPr>
              <w:t xml:space="preserve">ESSB 5410 </w:t>
            </w:r>
            <w:r w:rsidRPr="00756376">
              <w:rPr>
                <w:sz w:val="22"/>
              </w:rPr>
              <w:t>requires institutions to award as much credit as possible and appropriate for scores of 3 on an AP exam; 4 on IB exam; and “E” on “A” and “AS” level Cambridge International exam.  Requires retroactive application to the 2018-19 academic year.</w:t>
            </w:r>
            <w:r w:rsidR="007B3320">
              <w:rPr>
                <w:sz w:val="22"/>
              </w:rPr>
              <w:t xml:space="preserve"> The IB Crosswalk was approved by the Instruction Commission, Summer 2019. All</w:t>
            </w:r>
            <w:r w:rsidR="006F1E7F">
              <w:rPr>
                <w:sz w:val="22"/>
              </w:rPr>
              <w:t xml:space="preserve"> 34 colleges have posted IB and AP crosswalks, and the update related to this work was reported out to the legislature November 2019. This legislation also requires the community and technical colleges to post similar information on their respective websites about Cambridge test scores. The Articulation and Transfer Council is working on meeting this requirement of the legislation. </w:t>
            </w:r>
          </w:p>
          <w:p w:rsidR="007B3320" w:rsidRDefault="007B3320" w:rsidP="00812855">
            <w:pPr>
              <w:rPr>
                <w:sz w:val="22"/>
              </w:rPr>
            </w:pPr>
          </w:p>
          <w:p w:rsidR="00EB234F" w:rsidRDefault="00EB234F" w:rsidP="00756376">
            <w:pPr>
              <w:rPr>
                <w:sz w:val="22"/>
              </w:rPr>
            </w:pPr>
            <w:r w:rsidRPr="00756376">
              <w:rPr>
                <w:b/>
                <w:sz w:val="22"/>
              </w:rPr>
              <w:t xml:space="preserve">SSB 5433 </w:t>
            </w:r>
            <w:r w:rsidRPr="00756376">
              <w:rPr>
                <w:sz w:val="22"/>
              </w:rPr>
              <w:t xml:space="preserve">requires </w:t>
            </w:r>
            <w:r w:rsidR="00FB3F53">
              <w:rPr>
                <w:sz w:val="22"/>
              </w:rPr>
              <w:t>Department of Corrections (</w:t>
            </w:r>
            <w:r w:rsidRPr="00756376">
              <w:rPr>
                <w:sz w:val="22"/>
              </w:rPr>
              <w:t>DOC</w:t>
            </w:r>
            <w:r w:rsidR="00FB3F53">
              <w:rPr>
                <w:sz w:val="22"/>
              </w:rPr>
              <w:t>)</w:t>
            </w:r>
            <w:r w:rsidRPr="00756376">
              <w:rPr>
                <w:sz w:val="22"/>
              </w:rPr>
              <w:t xml:space="preserve">, SBCTC and </w:t>
            </w:r>
            <w:r w:rsidR="00FB3F53">
              <w:rPr>
                <w:sz w:val="22"/>
              </w:rPr>
              <w:t>Office of Chief Information Officer (O</w:t>
            </w:r>
            <w:r w:rsidRPr="00756376">
              <w:rPr>
                <w:sz w:val="22"/>
              </w:rPr>
              <w:t>CIO</w:t>
            </w:r>
            <w:r w:rsidR="00FB3F53">
              <w:rPr>
                <w:sz w:val="22"/>
              </w:rPr>
              <w:t>)</w:t>
            </w:r>
            <w:r w:rsidRPr="00756376">
              <w:rPr>
                <w:sz w:val="22"/>
              </w:rPr>
              <w:t xml:space="preserve"> to develop a plan affecting incarcerated students access to a secure internet connection and to expand educational opportunities to include </w:t>
            </w:r>
            <w:r w:rsidR="007B3320">
              <w:rPr>
                <w:sz w:val="22"/>
              </w:rPr>
              <w:t>p</w:t>
            </w:r>
            <w:r w:rsidR="006F1E7F">
              <w:rPr>
                <w:sz w:val="22"/>
              </w:rPr>
              <w:t>ost-secondary degree programs. Secured internet was piloted at the Washington Corrections Center for Women in early December</w:t>
            </w:r>
            <w:r w:rsidR="00FB3F53">
              <w:rPr>
                <w:sz w:val="22"/>
              </w:rPr>
              <w:t xml:space="preserve">. Students used secure internet for the first time to successfully earn their certificate in web design through Tacoma Community College.   </w:t>
            </w:r>
          </w:p>
          <w:p w:rsidR="00CE5828" w:rsidRDefault="00CE5828" w:rsidP="00756376">
            <w:pPr>
              <w:rPr>
                <w:sz w:val="22"/>
              </w:rPr>
            </w:pPr>
          </w:p>
          <w:p w:rsidR="00392BD7" w:rsidRPr="00805715" w:rsidRDefault="00392BD7" w:rsidP="00756376">
            <w:pPr>
              <w:rPr>
                <w:sz w:val="22"/>
              </w:rPr>
            </w:pPr>
            <w:r w:rsidRPr="00805715">
              <w:rPr>
                <w:b/>
                <w:sz w:val="22"/>
              </w:rPr>
              <w:t>The SBCTC will be asking for two policy considerations in the short session</w:t>
            </w:r>
            <w:r w:rsidRPr="00805715">
              <w:rPr>
                <w:sz w:val="22"/>
              </w:rPr>
              <w:t xml:space="preserve"> (both were passed out of the House and expired on the floor of the Senate last session):</w:t>
            </w:r>
          </w:p>
          <w:p w:rsidR="00DF64B0" w:rsidRPr="00DF64B0" w:rsidRDefault="00DF64B0" w:rsidP="00DF64B0">
            <w:pPr>
              <w:pStyle w:val="ListParagraph"/>
              <w:numPr>
                <w:ilvl w:val="0"/>
                <w:numId w:val="31"/>
              </w:numPr>
              <w:rPr>
                <w:sz w:val="22"/>
              </w:rPr>
            </w:pPr>
            <w:r>
              <w:rPr>
                <w:sz w:val="22"/>
              </w:rPr>
              <w:t>Classes will be flagged in the college’s clas</w:t>
            </w:r>
            <w:r w:rsidR="00805715">
              <w:rPr>
                <w:sz w:val="22"/>
              </w:rPr>
              <w:t>s schedule if the class utilizes</w:t>
            </w:r>
            <w:r>
              <w:rPr>
                <w:sz w:val="22"/>
              </w:rPr>
              <w:t xml:space="preserve"> open educational resources (meaning, that the “book” cost will be $50 or less becaus</w:t>
            </w:r>
            <w:r w:rsidR="00805715">
              <w:rPr>
                <w:sz w:val="22"/>
              </w:rPr>
              <w:t>e of the use of open resources), so students can make an informed choice about material costs.</w:t>
            </w:r>
          </w:p>
          <w:p w:rsidR="00CE5828" w:rsidRDefault="00DF64B0" w:rsidP="00DF64B0">
            <w:pPr>
              <w:pStyle w:val="ListParagraph"/>
              <w:numPr>
                <w:ilvl w:val="0"/>
                <w:numId w:val="31"/>
              </w:numPr>
              <w:rPr>
                <w:sz w:val="22"/>
              </w:rPr>
            </w:pPr>
            <w:r>
              <w:rPr>
                <w:sz w:val="22"/>
              </w:rPr>
              <w:t>Waiving of f</w:t>
            </w:r>
            <w:r w:rsidR="00CE5828" w:rsidRPr="00DF64B0">
              <w:rPr>
                <w:sz w:val="22"/>
              </w:rPr>
              <w:t>ees</w:t>
            </w:r>
            <w:r>
              <w:rPr>
                <w:sz w:val="22"/>
              </w:rPr>
              <w:t xml:space="preserve"> or debts still owed </w:t>
            </w:r>
            <w:r w:rsidR="00805715">
              <w:rPr>
                <w:sz w:val="22"/>
              </w:rPr>
              <w:t xml:space="preserve">(that were accrued during high school) </w:t>
            </w:r>
            <w:r>
              <w:rPr>
                <w:sz w:val="22"/>
              </w:rPr>
              <w:t xml:space="preserve">to allow for the release of a student’s high school transcripts.  </w:t>
            </w:r>
          </w:p>
          <w:p w:rsidR="00805715" w:rsidRDefault="00805715" w:rsidP="00805715">
            <w:pPr>
              <w:rPr>
                <w:sz w:val="22"/>
              </w:rPr>
            </w:pPr>
          </w:p>
          <w:p w:rsidR="00805715" w:rsidRPr="00805715" w:rsidRDefault="00805715" w:rsidP="00805715">
            <w:pPr>
              <w:rPr>
                <w:b/>
                <w:sz w:val="22"/>
              </w:rPr>
            </w:pPr>
            <w:r w:rsidRPr="00FB3F53">
              <w:rPr>
                <w:b/>
                <w:sz w:val="22"/>
              </w:rPr>
              <w:t>Two areas</w:t>
            </w:r>
            <w:r w:rsidRPr="00805715">
              <w:rPr>
                <w:b/>
                <w:sz w:val="22"/>
              </w:rPr>
              <w:t xml:space="preserve"> to note about the near future:</w:t>
            </w:r>
          </w:p>
          <w:p w:rsidR="00805715" w:rsidRDefault="00805715" w:rsidP="00805715">
            <w:pPr>
              <w:pStyle w:val="ListParagraph"/>
              <w:numPr>
                <w:ilvl w:val="0"/>
                <w:numId w:val="32"/>
              </w:numPr>
              <w:rPr>
                <w:sz w:val="22"/>
              </w:rPr>
            </w:pPr>
            <w:r>
              <w:rPr>
                <w:sz w:val="22"/>
              </w:rPr>
              <w:t xml:space="preserve">OSPI is in the process of proposing that all costs (sans transportation) be eliminated for Running Start students (actually all dual enrollment costs). This means fees and books would be taken care of by the college. The final report from OSPI has not been circulated, so we do not know at this juncture all the details. </w:t>
            </w:r>
          </w:p>
          <w:p w:rsidR="00805715" w:rsidRPr="00805715" w:rsidRDefault="00805715" w:rsidP="00805715">
            <w:pPr>
              <w:pStyle w:val="ListParagraph"/>
              <w:numPr>
                <w:ilvl w:val="0"/>
                <w:numId w:val="32"/>
              </w:numPr>
              <w:rPr>
                <w:sz w:val="22"/>
              </w:rPr>
            </w:pPr>
            <w:r>
              <w:rPr>
                <w:sz w:val="22"/>
              </w:rPr>
              <w:t xml:space="preserve">The Lt. Governor’s Office is pursuing making the completion of the FAFSA a requirement for high school graduation. FAFSA or other options  (i.e., WAFSA, opt out) would be made available to students. </w:t>
            </w:r>
            <w:r w:rsidR="00753E22">
              <w:rPr>
                <w:sz w:val="22"/>
              </w:rPr>
              <w:t xml:space="preserve"> </w:t>
            </w:r>
            <w:r w:rsidR="00FB3F53">
              <w:rPr>
                <w:sz w:val="22"/>
              </w:rPr>
              <w:t xml:space="preserve">The Lt. Governor is working on eliminating barriers from students trying to obtain their transcripts—advocating for holds for owing money to the college not be reason for holding back transcript access. The office is also interested in providing some clarity around reverse transfer options. </w:t>
            </w:r>
          </w:p>
          <w:p w:rsidR="00CE5828" w:rsidRPr="00156130" w:rsidRDefault="00CE5828" w:rsidP="00756376">
            <w:pPr>
              <w:rPr>
                <w:sz w:val="22"/>
              </w:rPr>
            </w:pPr>
          </w:p>
        </w:tc>
      </w:tr>
      <w:tr w:rsidR="00EB234F" w:rsidRPr="000B7715" w:rsidTr="00EB234F">
        <w:tc>
          <w:tcPr>
            <w:tcW w:w="1707" w:type="dxa"/>
            <w:shd w:val="clear" w:color="auto" w:fill="FFFFFF" w:themeFill="background1"/>
          </w:tcPr>
          <w:p w:rsidR="00EB234F" w:rsidRPr="000B7715" w:rsidRDefault="00EB234F">
            <w:pPr>
              <w:rPr>
                <w:b/>
                <w:sz w:val="22"/>
              </w:rPr>
            </w:pPr>
            <w:r w:rsidRPr="00FB3F53">
              <w:rPr>
                <w:b/>
                <w:sz w:val="22"/>
              </w:rPr>
              <w:t>Capital Update</w:t>
            </w:r>
          </w:p>
        </w:tc>
        <w:tc>
          <w:tcPr>
            <w:tcW w:w="9543" w:type="dxa"/>
          </w:tcPr>
          <w:p w:rsidR="00EB234F" w:rsidRPr="000B7715" w:rsidRDefault="00CA31E4" w:rsidP="00FB0D1E">
            <w:pPr>
              <w:rPr>
                <w:sz w:val="22"/>
              </w:rPr>
            </w:pPr>
            <w:r>
              <w:rPr>
                <w:sz w:val="22"/>
              </w:rPr>
              <w:t xml:space="preserve">The biennial </w:t>
            </w:r>
            <w:r w:rsidR="00FB3F53">
              <w:rPr>
                <w:sz w:val="22"/>
              </w:rPr>
              <w:t>c</w:t>
            </w:r>
            <w:r w:rsidR="00EB234F">
              <w:rPr>
                <w:sz w:val="22"/>
              </w:rPr>
              <w:t>apital budget include</w:t>
            </w:r>
            <w:r>
              <w:rPr>
                <w:sz w:val="22"/>
              </w:rPr>
              <w:t>d</w:t>
            </w:r>
            <w:r w:rsidR="00EB234F">
              <w:rPr>
                <w:sz w:val="22"/>
              </w:rPr>
              <w:t xml:space="preserve"> $5m for equipment to support Career Connect WA’s Career Launch Programs. </w:t>
            </w:r>
            <w:r w:rsidR="00FB0D1E">
              <w:rPr>
                <w:sz w:val="22"/>
              </w:rPr>
              <w:t xml:space="preserve">Grant applications are being accepted via OGMS and application details can be found at </w:t>
            </w:r>
            <w:r w:rsidR="00FB0D1E" w:rsidRPr="00FB0D1E">
              <w:rPr>
                <w:sz w:val="22"/>
              </w:rPr>
              <w:t>https://www.sbctc.edu/colleges-staff/grants/default.aspx</w:t>
            </w:r>
            <w:r w:rsidR="00FB0D1E">
              <w:rPr>
                <w:sz w:val="22"/>
              </w:rPr>
              <w:t xml:space="preserve"> . </w:t>
            </w:r>
            <w:r w:rsidR="00753E22">
              <w:rPr>
                <w:sz w:val="22"/>
              </w:rPr>
              <w:t xml:space="preserve"> </w:t>
            </w:r>
            <w:r>
              <w:rPr>
                <w:sz w:val="22"/>
              </w:rPr>
              <w:t xml:space="preserve">There is approximately $4.2m in funds remaining.  Applications will be accepted monthly </w:t>
            </w:r>
            <w:r w:rsidRPr="00CA31E4">
              <w:rPr>
                <w:sz w:val="22"/>
              </w:rPr>
              <w:t>on the 1st business day of the month beginning February 3, 2020 through December 3, 2020</w:t>
            </w:r>
            <w:r>
              <w:rPr>
                <w:sz w:val="22"/>
              </w:rPr>
              <w:t xml:space="preserve">.  Ongoing competitive processes will continue until all funds are awarded. </w:t>
            </w:r>
          </w:p>
        </w:tc>
      </w:tr>
      <w:tr w:rsidR="00EB234F" w:rsidRPr="000B7715" w:rsidTr="00EB234F">
        <w:tc>
          <w:tcPr>
            <w:tcW w:w="1707" w:type="dxa"/>
            <w:shd w:val="clear" w:color="auto" w:fill="FFFFFF" w:themeFill="background1"/>
          </w:tcPr>
          <w:p w:rsidR="00EB234F" w:rsidRPr="000B7715" w:rsidRDefault="00EB234F">
            <w:pPr>
              <w:rPr>
                <w:b/>
                <w:sz w:val="22"/>
              </w:rPr>
            </w:pPr>
            <w:r w:rsidRPr="008F1BA8">
              <w:rPr>
                <w:b/>
                <w:sz w:val="22"/>
              </w:rPr>
              <w:t>Guided Pathways</w:t>
            </w:r>
          </w:p>
        </w:tc>
        <w:tc>
          <w:tcPr>
            <w:tcW w:w="9543" w:type="dxa"/>
          </w:tcPr>
          <w:p w:rsidR="003F5D52" w:rsidRPr="007B3320" w:rsidRDefault="0089472D" w:rsidP="007B3320">
            <w:pPr>
              <w:rPr>
                <w:szCs w:val="24"/>
              </w:rPr>
            </w:pPr>
            <w:r w:rsidRPr="00756376">
              <w:rPr>
                <w:sz w:val="22"/>
              </w:rPr>
              <w:t>$</w:t>
            </w:r>
            <w:r w:rsidRPr="007B3320">
              <w:rPr>
                <w:szCs w:val="24"/>
              </w:rPr>
              <w:t>32.1 million ($2m for FY20; $30.1 million for FY21) to implem</w:t>
            </w:r>
            <w:r w:rsidR="007B3320">
              <w:rPr>
                <w:szCs w:val="24"/>
              </w:rPr>
              <w:t xml:space="preserve">ent Guided Pathways at all CTCs. In the 2019-20 allocation, all colleges received $100,000. </w:t>
            </w:r>
            <w:r w:rsidR="003F5D52" w:rsidRPr="007B3320">
              <w:rPr>
                <w:szCs w:val="24"/>
              </w:rPr>
              <w:t>Funds must be clearly invested in alignment with Guided Pathways framework and HB 2158 identified</w:t>
            </w:r>
            <w:r w:rsidR="007B3320">
              <w:rPr>
                <w:szCs w:val="24"/>
              </w:rPr>
              <w:t xml:space="preserve"> areas.</w:t>
            </w:r>
            <w:r w:rsidR="00753E22">
              <w:rPr>
                <w:szCs w:val="24"/>
              </w:rPr>
              <w:t xml:space="preserve"> Allocation is being determined by</w:t>
            </w:r>
            <w:r w:rsidR="00FB3F53">
              <w:rPr>
                <w:szCs w:val="24"/>
              </w:rPr>
              <w:t xml:space="preserve"> the</w:t>
            </w:r>
            <w:r w:rsidR="00753E22">
              <w:rPr>
                <w:szCs w:val="24"/>
              </w:rPr>
              <w:t xml:space="preserve"> Operating Budget </w:t>
            </w:r>
            <w:r w:rsidR="00FB3F53">
              <w:rPr>
                <w:szCs w:val="24"/>
              </w:rPr>
              <w:t xml:space="preserve">Committee (OBC) with input from a variety of commissions and the Guided Pathways Advisory Committee. </w:t>
            </w:r>
          </w:p>
          <w:p w:rsidR="003F5D52" w:rsidRDefault="003F5D52">
            <w:pPr>
              <w:rPr>
                <w:b/>
                <w:sz w:val="22"/>
              </w:rPr>
            </w:pPr>
          </w:p>
          <w:p w:rsidR="003F5D52" w:rsidRPr="007B3320" w:rsidRDefault="005D2E9C" w:rsidP="003F5D52">
            <w:pPr>
              <w:rPr>
                <w:b/>
                <w:bCs/>
                <w:szCs w:val="24"/>
                <w:u w:val="single"/>
              </w:rPr>
            </w:pPr>
            <w:r>
              <w:rPr>
                <w:b/>
                <w:bCs/>
                <w:szCs w:val="24"/>
                <w:u w:val="single"/>
              </w:rPr>
              <w:t xml:space="preserve">Winter and Spring </w:t>
            </w:r>
            <w:r w:rsidR="003F5D52" w:rsidRPr="007B3320">
              <w:rPr>
                <w:b/>
                <w:bCs/>
                <w:szCs w:val="24"/>
                <w:u w:val="single"/>
              </w:rPr>
              <w:t>2020 TIMELINE</w:t>
            </w:r>
          </w:p>
          <w:p w:rsidR="003F5D52" w:rsidRDefault="00400A7F" w:rsidP="00285298">
            <w:pPr>
              <w:pStyle w:val="ListParagraph"/>
              <w:numPr>
                <w:ilvl w:val="0"/>
                <w:numId w:val="26"/>
              </w:numPr>
              <w:contextualSpacing w:val="0"/>
              <w:rPr>
                <w:szCs w:val="24"/>
              </w:rPr>
            </w:pPr>
            <w:r w:rsidRPr="00285298">
              <w:rPr>
                <w:szCs w:val="24"/>
              </w:rPr>
              <w:t>Jan 15, 2020</w:t>
            </w:r>
            <w:r w:rsidRPr="00285298">
              <w:rPr>
                <w:szCs w:val="24"/>
              </w:rPr>
              <w:tab/>
              <w:t>Guided Pathways S</w:t>
            </w:r>
            <w:r w:rsidR="003F5D52" w:rsidRPr="00285298">
              <w:rPr>
                <w:szCs w:val="24"/>
              </w:rPr>
              <w:t>tatewide Launch event</w:t>
            </w:r>
            <w:r w:rsidR="00805715" w:rsidRPr="00285298">
              <w:rPr>
                <w:szCs w:val="24"/>
              </w:rPr>
              <w:t xml:space="preserve"> (aimed at the 22 colleges who had </w:t>
            </w:r>
            <w:r w:rsidR="00FB3F53">
              <w:rPr>
                <w:szCs w:val="24"/>
              </w:rPr>
              <w:t xml:space="preserve">not </w:t>
            </w:r>
            <w:r w:rsidR="00805715" w:rsidRPr="00285298">
              <w:rPr>
                <w:szCs w:val="24"/>
              </w:rPr>
              <w:t xml:space="preserve">received monies prior to this past legislation session). </w:t>
            </w:r>
          </w:p>
          <w:p w:rsidR="008F1BA8" w:rsidRPr="00285298" w:rsidRDefault="008F1BA8" w:rsidP="00285298">
            <w:pPr>
              <w:pStyle w:val="ListParagraph"/>
              <w:numPr>
                <w:ilvl w:val="0"/>
                <w:numId w:val="26"/>
              </w:numPr>
              <w:contextualSpacing w:val="0"/>
              <w:rPr>
                <w:szCs w:val="24"/>
              </w:rPr>
            </w:pPr>
            <w:r>
              <w:rPr>
                <w:szCs w:val="24"/>
              </w:rPr>
              <w:t>January-February, 2020: Implementation work plan webinars.</w:t>
            </w:r>
          </w:p>
          <w:p w:rsidR="003F5D52" w:rsidRPr="007B3320" w:rsidRDefault="003F5D52" w:rsidP="007959DB">
            <w:pPr>
              <w:pStyle w:val="ListParagraph"/>
              <w:numPr>
                <w:ilvl w:val="0"/>
                <w:numId w:val="26"/>
              </w:numPr>
              <w:contextualSpacing w:val="0"/>
              <w:rPr>
                <w:szCs w:val="24"/>
              </w:rPr>
            </w:pPr>
            <w:r w:rsidRPr="007B3320">
              <w:rPr>
                <w:szCs w:val="24"/>
              </w:rPr>
              <w:t>Mar 1, 2020</w:t>
            </w:r>
            <w:r w:rsidRPr="007B3320">
              <w:rPr>
                <w:szCs w:val="24"/>
              </w:rPr>
              <w:tab/>
            </w:r>
            <w:r w:rsidR="00FB3F53">
              <w:rPr>
                <w:szCs w:val="24"/>
              </w:rPr>
              <w:t>Implementation w</w:t>
            </w:r>
            <w:r w:rsidRPr="007B3320">
              <w:rPr>
                <w:szCs w:val="24"/>
              </w:rPr>
              <w:t>ork plans due to SBCTC</w:t>
            </w:r>
          </w:p>
          <w:p w:rsidR="003F5D52" w:rsidRPr="007B3320" w:rsidRDefault="008F1BA8" w:rsidP="007959DB">
            <w:pPr>
              <w:pStyle w:val="ListParagraph"/>
              <w:numPr>
                <w:ilvl w:val="0"/>
                <w:numId w:val="26"/>
              </w:numPr>
              <w:contextualSpacing w:val="0"/>
              <w:rPr>
                <w:szCs w:val="24"/>
              </w:rPr>
            </w:pPr>
            <w:r>
              <w:rPr>
                <w:szCs w:val="24"/>
              </w:rPr>
              <w:t>April</w:t>
            </w:r>
            <w:r w:rsidR="003F5D52" w:rsidRPr="007B3320">
              <w:rPr>
                <w:szCs w:val="24"/>
              </w:rPr>
              <w:t xml:space="preserve"> 2020</w:t>
            </w:r>
            <w:r w:rsidR="003F5D52" w:rsidRPr="007B3320">
              <w:rPr>
                <w:szCs w:val="24"/>
              </w:rPr>
              <w:tab/>
            </w:r>
            <w:r>
              <w:rPr>
                <w:szCs w:val="24"/>
              </w:rPr>
              <w:t>Implementation w</w:t>
            </w:r>
            <w:r w:rsidR="003F5D52" w:rsidRPr="007B3320">
              <w:rPr>
                <w:szCs w:val="24"/>
              </w:rPr>
              <w:t>ork plan</w:t>
            </w:r>
            <w:r>
              <w:rPr>
                <w:szCs w:val="24"/>
              </w:rPr>
              <w:t xml:space="preserve">s reviewed </w:t>
            </w:r>
            <w:r w:rsidR="003F5D52" w:rsidRPr="007B3320">
              <w:rPr>
                <w:szCs w:val="24"/>
              </w:rPr>
              <w:t>an</w:t>
            </w:r>
            <w:r>
              <w:rPr>
                <w:szCs w:val="24"/>
              </w:rPr>
              <w:t xml:space="preserve">d allocation recommendations </w:t>
            </w:r>
            <w:r w:rsidR="003F5D52" w:rsidRPr="007B3320">
              <w:rPr>
                <w:szCs w:val="24"/>
              </w:rPr>
              <w:t>submitted to budget package</w:t>
            </w:r>
            <w:r>
              <w:rPr>
                <w:szCs w:val="24"/>
              </w:rPr>
              <w:t>.</w:t>
            </w:r>
          </w:p>
          <w:p w:rsidR="003F5D52" w:rsidRDefault="00400A7F" w:rsidP="005D2E9C">
            <w:pPr>
              <w:pStyle w:val="ListParagraph"/>
              <w:numPr>
                <w:ilvl w:val="0"/>
                <w:numId w:val="26"/>
              </w:numPr>
              <w:contextualSpacing w:val="0"/>
              <w:rPr>
                <w:szCs w:val="24"/>
              </w:rPr>
            </w:pPr>
            <w:r>
              <w:rPr>
                <w:szCs w:val="24"/>
              </w:rPr>
              <w:t>May 6</w:t>
            </w:r>
            <w:r w:rsidR="003F5D52" w:rsidRPr="007B3320">
              <w:rPr>
                <w:szCs w:val="24"/>
              </w:rPr>
              <w:t>, 2020</w:t>
            </w:r>
            <w:r w:rsidR="003F5D52" w:rsidRPr="007B3320">
              <w:rPr>
                <w:szCs w:val="24"/>
              </w:rPr>
              <w:tab/>
              <w:t xml:space="preserve">State Board reviews and votes on proposed Guided Pathways funding allocation </w:t>
            </w:r>
            <w:r w:rsidR="003F5D52" w:rsidRPr="00400A7F">
              <w:rPr>
                <w:szCs w:val="24"/>
              </w:rPr>
              <w:t>model as part of 2020-2021 budget package</w:t>
            </w:r>
            <w:r w:rsidR="008F1BA8">
              <w:rPr>
                <w:szCs w:val="24"/>
              </w:rPr>
              <w:t>.</w:t>
            </w:r>
          </w:p>
          <w:p w:rsidR="008F1BA8" w:rsidRPr="005D2E9C" w:rsidRDefault="008F1BA8" w:rsidP="005D2E9C">
            <w:pPr>
              <w:pStyle w:val="ListParagraph"/>
              <w:numPr>
                <w:ilvl w:val="0"/>
                <w:numId w:val="26"/>
              </w:numPr>
              <w:contextualSpacing w:val="0"/>
              <w:rPr>
                <w:szCs w:val="24"/>
              </w:rPr>
            </w:pPr>
            <w:r>
              <w:rPr>
                <w:szCs w:val="24"/>
              </w:rPr>
              <w:t xml:space="preserve">Spring 2020   Scale of Adoption Assessment report available &amp; Math Landscape analysis report available. </w:t>
            </w:r>
          </w:p>
          <w:p w:rsidR="0089472D" w:rsidRDefault="0089472D">
            <w:pPr>
              <w:rPr>
                <w:b/>
                <w:sz w:val="22"/>
              </w:rPr>
            </w:pPr>
          </w:p>
          <w:p w:rsidR="00EB234F" w:rsidRPr="00400A7F" w:rsidRDefault="009A33B8" w:rsidP="008F1BA8">
            <w:pPr>
              <w:rPr>
                <w:rFonts w:cs="Times New Roman"/>
                <w:szCs w:val="24"/>
              </w:rPr>
            </w:pPr>
            <w:hyperlink r:id="rId6" w:history="1">
              <w:r w:rsidR="00EB234F" w:rsidRPr="005D2E9C">
                <w:rPr>
                  <w:rStyle w:val="Hyperlink"/>
                  <w:szCs w:val="24"/>
                </w:rPr>
                <w:t>Guided Pathways Dashboard</w:t>
              </w:r>
            </w:hyperlink>
            <w:r w:rsidR="00EB234F" w:rsidRPr="005D2E9C">
              <w:rPr>
                <w:szCs w:val="24"/>
              </w:rPr>
              <w:t xml:space="preserve"> update – Thanks to the research team, the Guided Pathways Dashboard has been updated to reflect the next cohort and a few formatting updates.  </w:t>
            </w:r>
          </w:p>
          <w:p w:rsidR="00400A7F" w:rsidRPr="00400A7F" w:rsidRDefault="00400A7F" w:rsidP="00400A7F">
            <w:pPr>
              <w:pStyle w:val="xmsolistparagraph"/>
              <w:ind w:left="1440"/>
              <w:rPr>
                <w:rFonts w:cs="Times New Roman"/>
                <w:sz w:val="24"/>
                <w:szCs w:val="24"/>
              </w:rPr>
            </w:pPr>
          </w:p>
          <w:p w:rsidR="00EB234F" w:rsidRPr="008F1BA8" w:rsidRDefault="00EB234F">
            <w:pPr>
              <w:rPr>
                <w:b/>
                <w:sz w:val="22"/>
              </w:rPr>
            </w:pPr>
            <w:r w:rsidRPr="008F1BA8">
              <w:rPr>
                <w:b/>
                <w:sz w:val="22"/>
              </w:rPr>
              <w:t xml:space="preserve">Technology </w:t>
            </w:r>
          </w:p>
          <w:p w:rsidR="00EB234F" w:rsidRDefault="00EB234F" w:rsidP="008F1BA8">
            <w:pPr>
              <w:rPr>
                <w:szCs w:val="24"/>
              </w:rPr>
            </w:pPr>
            <w:r w:rsidRPr="008F1BA8">
              <w:rPr>
                <w:szCs w:val="24"/>
              </w:rPr>
              <w:t>Joint ctcLink &amp; Student Success Demo workshop # 2 – (</w:t>
            </w:r>
            <w:r w:rsidR="0089472D" w:rsidRPr="008F1BA8">
              <w:rPr>
                <w:szCs w:val="24"/>
              </w:rPr>
              <w:t>August 19-20</w:t>
            </w:r>
            <w:r w:rsidRPr="008F1BA8">
              <w:rPr>
                <w:szCs w:val="24"/>
              </w:rPr>
              <w:t xml:space="preserve">, 2019) </w:t>
            </w:r>
            <w:r w:rsidR="0089472D" w:rsidRPr="008F1BA8">
              <w:rPr>
                <w:szCs w:val="24"/>
              </w:rPr>
              <w:t xml:space="preserve"> provided a demonstration of ctcLink 9.2 by project staff resulting in a Guided Pathways Outcomes &amp; Recommendations report including specific votes on enabling Subplans and Metamajor coding.  Those recommendations are now moving through the technology governance pr</w:t>
            </w:r>
            <w:r w:rsidR="008F1BA8">
              <w:rPr>
                <w:szCs w:val="24"/>
              </w:rPr>
              <w:t xml:space="preserve">ocess (WACTC-Tech and ctcLink) to find a common solution based on a two proposals. </w:t>
            </w:r>
          </w:p>
          <w:p w:rsidR="008F1BA8" w:rsidRDefault="008F1BA8" w:rsidP="008F1BA8">
            <w:pPr>
              <w:rPr>
                <w:szCs w:val="24"/>
              </w:rPr>
            </w:pPr>
          </w:p>
          <w:p w:rsidR="008F1BA8" w:rsidRDefault="008F1BA8" w:rsidP="008F1BA8">
            <w:pPr>
              <w:rPr>
                <w:szCs w:val="24"/>
              </w:rPr>
            </w:pPr>
            <w:r>
              <w:rPr>
                <w:szCs w:val="24"/>
              </w:rPr>
              <w:t>The Strategic Technology Advisory Committee (STAC) has been approved by WACTC as a standing committee charged with technology governance and the composition of a new strategic technology planning process. The group is finalizing its charter, beginning work on the strategic technology plan, and addressing issues in the procurement and deployment of technologies supporting Guided Pathways.</w:t>
            </w:r>
          </w:p>
          <w:p w:rsidR="008F1BA8" w:rsidRDefault="008F1BA8" w:rsidP="008F1BA8">
            <w:pPr>
              <w:rPr>
                <w:szCs w:val="24"/>
              </w:rPr>
            </w:pPr>
          </w:p>
          <w:p w:rsidR="008F1BA8" w:rsidRDefault="008F1BA8" w:rsidP="008F1BA8">
            <w:pPr>
              <w:rPr>
                <w:szCs w:val="24"/>
              </w:rPr>
            </w:pPr>
            <w:r>
              <w:rPr>
                <w:szCs w:val="24"/>
              </w:rPr>
              <w:t>Reporting to STAC, the Educational Technology Advisory Group (ETAG) and the Committee on Accessible Technology Oversight (CATO) are meeting to contribute to the strategic technology planning and to set priorities for the upcoming year in their respective areas.</w:t>
            </w:r>
          </w:p>
          <w:p w:rsidR="008F1BA8" w:rsidRDefault="008F1BA8" w:rsidP="008F1BA8">
            <w:pPr>
              <w:rPr>
                <w:szCs w:val="24"/>
              </w:rPr>
            </w:pPr>
          </w:p>
          <w:p w:rsidR="008F1BA8" w:rsidRPr="008F1BA8" w:rsidRDefault="008F1BA8" w:rsidP="008F1BA8">
            <w:pPr>
              <w:rPr>
                <w:szCs w:val="24"/>
              </w:rPr>
            </w:pPr>
            <w:r>
              <w:rPr>
                <w:szCs w:val="24"/>
              </w:rPr>
              <w:t xml:space="preserve">SBCTC has convened a technology accessibility committee to access current SBCTC policy and create procedures in technology procurement, deployment, and remediation in accord with OCIO Policy 188. The group is charged with creating a plan for the agency. Mark Jenkins is heading this effort. </w:t>
            </w:r>
          </w:p>
          <w:p w:rsidR="00400A7F" w:rsidRPr="00B5229C" w:rsidRDefault="00400A7F" w:rsidP="00400A7F">
            <w:pPr>
              <w:pStyle w:val="ListParagraph"/>
              <w:rPr>
                <w:b/>
                <w:sz w:val="22"/>
              </w:rPr>
            </w:pPr>
          </w:p>
          <w:p w:rsidR="007A5234" w:rsidRDefault="007A5234" w:rsidP="007A5234">
            <w:pPr>
              <w:rPr>
                <w:sz w:val="22"/>
              </w:rPr>
            </w:pPr>
            <w:r w:rsidRPr="007A5234">
              <w:rPr>
                <w:b/>
                <w:sz w:val="22"/>
              </w:rPr>
              <w:t>Math Landscape Analysis</w:t>
            </w:r>
            <w:r>
              <w:rPr>
                <w:sz w:val="22"/>
              </w:rPr>
              <w:t>:</w:t>
            </w:r>
            <w:r w:rsidRPr="007A5234">
              <w:rPr>
                <w:sz w:val="22"/>
              </w:rPr>
              <w:t xml:space="preserve"> </w:t>
            </w:r>
          </w:p>
          <w:p w:rsidR="007A5234" w:rsidRPr="007A5234" w:rsidRDefault="007A5234" w:rsidP="007A5234">
            <w:pPr>
              <w:rPr>
                <w:sz w:val="22"/>
              </w:rPr>
            </w:pPr>
            <w:r w:rsidRPr="007A5234">
              <w:rPr>
                <w:sz w:val="22"/>
              </w:rPr>
              <w:t xml:space="preserve">Dr. Laura Schueller was hired with </w:t>
            </w:r>
            <w:r>
              <w:rPr>
                <w:sz w:val="22"/>
              </w:rPr>
              <w:t>College Spark Grant funds this f</w:t>
            </w:r>
            <w:r w:rsidRPr="007A5234">
              <w:rPr>
                <w:sz w:val="22"/>
              </w:rPr>
              <w:t xml:space="preserve">all to conduct an initial analysis of acceleration strategies across Washington CTC’s and identify opportunities for supporting </w:t>
            </w:r>
            <w:r w:rsidRPr="007A5234">
              <w:rPr>
                <w:sz w:val="22"/>
              </w:rPr>
              <w:t>colleges’</w:t>
            </w:r>
            <w:r w:rsidRPr="007A5234">
              <w:rPr>
                <w:sz w:val="22"/>
              </w:rPr>
              <w:t xml:space="preserve"> math reform work.  She will fini</w:t>
            </w:r>
            <w:r>
              <w:rPr>
                <w:sz w:val="22"/>
              </w:rPr>
              <w:t>sh the last campus visits to all</w:t>
            </w:r>
            <w:r w:rsidRPr="007A5234">
              <w:rPr>
                <w:sz w:val="22"/>
              </w:rPr>
              <w:t xml:space="preserve"> 34 CTC’s January 31, 2020.  The campus visits</w:t>
            </w:r>
            <w:r>
              <w:rPr>
                <w:sz w:val="22"/>
              </w:rPr>
              <w:t xml:space="preserve"> included meetings with math &amp; q</w:t>
            </w:r>
            <w:r w:rsidRPr="007A5234">
              <w:rPr>
                <w:sz w:val="22"/>
              </w:rPr>
              <w:t>uantit</w:t>
            </w:r>
            <w:r>
              <w:rPr>
                <w:sz w:val="22"/>
              </w:rPr>
              <w:t>ative course faculty, d</w:t>
            </w:r>
            <w:r w:rsidRPr="007A5234">
              <w:rPr>
                <w:sz w:val="22"/>
              </w:rPr>
              <w:t>eans</w:t>
            </w:r>
            <w:r>
              <w:rPr>
                <w:sz w:val="22"/>
              </w:rPr>
              <w:t>,</w:t>
            </w:r>
            <w:r w:rsidRPr="007A5234">
              <w:rPr>
                <w:sz w:val="22"/>
              </w:rPr>
              <w:t xml:space="preserve"> and Vice Presidents of Instruction.  The purpose of the visits was to a) deepen understanding of what math acceleration strategies were currently being piloted, scaled or at scale; b) Identify opportunities to scale effective practices through identification of</w:t>
            </w:r>
            <w:r>
              <w:rPr>
                <w:sz w:val="22"/>
              </w:rPr>
              <w:t xml:space="preserve"> potential learning communities</w:t>
            </w:r>
            <w:r w:rsidRPr="007A5234">
              <w:rPr>
                <w:sz w:val="22"/>
              </w:rPr>
              <w:t xml:space="preserve">; and c) Identify any relationships between early momentum metrics and college practices. Each college will receive an individual college report and a summary of findings will be finalized </w:t>
            </w:r>
            <w:r>
              <w:rPr>
                <w:sz w:val="22"/>
              </w:rPr>
              <w:t xml:space="preserve">by </w:t>
            </w:r>
            <w:r w:rsidRPr="007A5234">
              <w:rPr>
                <w:sz w:val="22"/>
              </w:rPr>
              <w:t>Sp</w:t>
            </w:r>
            <w:r>
              <w:rPr>
                <w:sz w:val="22"/>
              </w:rPr>
              <w:t>ring 2020</w:t>
            </w:r>
            <w:r w:rsidRPr="007A5234">
              <w:rPr>
                <w:sz w:val="22"/>
              </w:rPr>
              <w:t>.</w:t>
            </w:r>
          </w:p>
          <w:p w:rsidR="007A5234" w:rsidRPr="007A5234" w:rsidRDefault="007A5234" w:rsidP="007A5234">
            <w:pPr>
              <w:rPr>
                <w:sz w:val="22"/>
              </w:rPr>
            </w:pPr>
          </w:p>
          <w:p w:rsidR="007A5234" w:rsidRPr="007A5234" w:rsidRDefault="007A5234" w:rsidP="007A5234">
            <w:pPr>
              <w:rPr>
                <w:b/>
                <w:sz w:val="22"/>
              </w:rPr>
            </w:pPr>
            <w:r w:rsidRPr="007A5234">
              <w:rPr>
                <w:b/>
                <w:sz w:val="22"/>
              </w:rPr>
              <w:t>Scale of Adoption Assessment (SOAA)</w:t>
            </w:r>
          </w:p>
          <w:p w:rsidR="007A5234" w:rsidRPr="007A5234" w:rsidRDefault="007A5234" w:rsidP="007A5234">
            <w:pPr>
              <w:rPr>
                <w:sz w:val="22"/>
              </w:rPr>
            </w:pPr>
            <w:r w:rsidRPr="007A5234">
              <w:rPr>
                <w:sz w:val="22"/>
              </w:rPr>
              <w:t xml:space="preserve">All colleges participated in the CCRC Guided Pathways Scale of Adoption Assessment and in follow-up calls with CCRC staff and guided pathways change facilitators. The results of the assessments will be available in </w:t>
            </w:r>
            <w:r w:rsidRPr="007A5234">
              <w:rPr>
                <w:sz w:val="22"/>
              </w:rPr>
              <w:t>aggregated</w:t>
            </w:r>
            <w:r w:rsidRPr="007A5234">
              <w:rPr>
                <w:sz w:val="22"/>
              </w:rPr>
              <w:t xml:space="preserve"> form to all colleges, and in college-specific form to each college.</w:t>
            </w:r>
          </w:p>
          <w:p w:rsidR="005D2E9C" w:rsidRPr="005D2E9C" w:rsidRDefault="005D2E9C" w:rsidP="005D2E9C">
            <w:pPr>
              <w:rPr>
                <w:b/>
                <w:i/>
                <w:szCs w:val="24"/>
              </w:rPr>
            </w:pPr>
          </w:p>
          <w:p w:rsidR="00886E34" w:rsidRPr="007A5234" w:rsidRDefault="00886E34" w:rsidP="00886E34">
            <w:pPr>
              <w:rPr>
                <w:b/>
                <w:sz w:val="22"/>
              </w:rPr>
            </w:pPr>
            <w:r w:rsidRPr="007A5234">
              <w:rPr>
                <w:b/>
                <w:sz w:val="22"/>
              </w:rPr>
              <w:t>Communication</w:t>
            </w:r>
          </w:p>
          <w:p w:rsidR="00886E34" w:rsidRPr="00400A7F" w:rsidRDefault="00886E34" w:rsidP="00B5229C">
            <w:pPr>
              <w:pStyle w:val="ListParagraph"/>
              <w:numPr>
                <w:ilvl w:val="0"/>
                <w:numId w:val="27"/>
              </w:numPr>
              <w:rPr>
                <w:szCs w:val="24"/>
              </w:rPr>
            </w:pPr>
            <w:r w:rsidRPr="00400A7F">
              <w:rPr>
                <w:szCs w:val="24"/>
              </w:rPr>
              <w:t xml:space="preserve">GP Listserv - Sign up for the listserv </w:t>
            </w:r>
            <w:hyperlink r:id="rId7" w:history="1">
              <w:r w:rsidRPr="00400A7F">
                <w:rPr>
                  <w:rStyle w:val="Hyperlink"/>
                  <w:szCs w:val="24"/>
                </w:rPr>
                <w:t>HERE</w:t>
              </w:r>
            </w:hyperlink>
          </w:p>
          <w:p w:rsidR="00EB234F" w:rsidRPr="005D2E9C" w:rsidRDefault="00886E34" w:rsidP="005D2E9C">
            <w:pPr>
              <w:pStyle w:val="ListParagraph"/>
              <w:numPr>
                <w:ilvl w:val="0"/>
                <w:numId w:val="27"/>
              </w:numPr>
              <w:rPr>
                <w:szCs w:val="24"/>
              </w:rPr>
            </w:pPr>
            <w:r w:rsidRPr="00400A7F">
              <w:rPr>
                <w:szCs w:val="24"/>
              </w:rPr>
              <w:t xml:space="preserve">Website – Look for updates and resources </w:t>
            </w:r>
            <w:hyperlink r:id="rId8" w:history="1">
              <w:r w:rsidRPr="00400A7F">
                <w:rPr>
                  <w:rStyle w:val="Hyperlink"/>
                  <w:szCs w:val="24"/>
                </w:rPr>
                <w:t>HERE</w:t>
              </w:r>
            </w:hyperlink>
          </w:p>
        </w:tc>
      </w:tr>
      <w:tr w:rsidR="001457AF" w:rsidRPr="000B7715" w:rsidTr="00EB234F">
        <w:tc>
          <w:tcPr>
            <w:tcW w:w="1707" w:type="dxa"/>
            <w:shd w:val="clear" w:color="auto" w:fill="FFFFFF" w:themeFill="background1"/>
          </w:tcPr>
          <w:p w:rsidR="001457AF" w:rsidRPr="000B7715" w:rsidRDefault="001457AF">
            <w:pPr>
              <w:rPr>
                <w:b/>
                <w:sz w:val="22"/>
              </w:rPr>
            </w:pPr>
            <w:r w:rsidRPr="007A5234">
              <w:rPr>
                <w:b/>
                <w:sz w:val="22"/>
              </w:rPr>
              <w:t>Math Pathways and Co-Requisite Work</w:t>
            </w:r>
          </w:p>
        </w:tc>
        <w:tc>
          <w:tcPr>
            <w:tcW w:w="9543" w:type="dxa"/>
          </w:tcPr>
          <w:p w:rsidR="007A5234" w:rsidRDefault="007A5234" w:rsidP="00400A7F">
            <w:pPr>
              <w:rPr>
                <w:sz w:val="22"/>
              </w:rPr>
            </w:pPr>
            <w:r w:rsidRPr="007A5234">
              <w:rPr>
                <w:sz w:val="22"/>
              </w:rPr>
              <w:t>Math pathway</w:t>
            </w:r>
            <w:r>
              <w:rPr>
                <w:sz w:val="22"/>
              </w:rPr>
              <w:t>s will be a major focus of the Guided P</w:t>
            </w:r>
            <w:r w:rsidRPr="007A5234">
              <w:rPr>
                <w:sz w:val="22"/>
              </w:rPr>
              <w:t xml:space="preserve">athways cohort retreat in January 2020 and an ongoing emphasis as the guided pathways work goes to scale around the system. At the cohort retreat Laura Schueller will be providing an update on co-requisite implementation across the system; we will be posting a summary of that work on our web site: </w:t>
            </w:r>
          </w:p>
          <w:p w:rsidR="007A5234" w:rsidRDefault="007A5234" w:rsidP="00400A7F">
            <w:pPr>
              <w:rPr>
                <w:sz w:val="22"/>
              </w:rPr>
            </w:pPr>
            <w:hyperlink r:id="rId9" w:history="1">
              <w:r w:rsidRPr="00DE6316">
                <w:rPr>
                  <w:rStyle w:val="Hyperlink"/>
                  <w:sz w:val="22"/>
                </w:rPr>
                <w:t>https://www.sbctc.edu/colleges-staff/programs-services/math/default.aspx</w:t>
              </w:r>
            </w:hyperlink>
          </w:p>
          <w:p w:rsidR="007A5234" w:rsidRPr="00400A7F" w:rsidRDefault="007A5234" w:rsidP="00400A7F">
            <w:pPr>
              <w:rPr>
                <w:sz w:val="22"/>
              </w:rPr>
            </w:pPr>
          </w:p>
        </w:tc>
      </w:tr>
      <w:tr w:rsidR="007A5234" w:rsidRPr="000B7715" w:rsidTr="00EB234F">
        <w:tc>
          <w:tcPr>
            <w:tcW w:w="1707" w:type="dxa"/>
            <w:shd w:val="clear" w:color="auto" w:fill="FFFFFF" w:themeFill="background1"/>
          </w:tcPr>
          <w:p w:rsidR="007A5234" w:rsidRPr="007A5234" w:rsidRDefault="007A5234">
            <w:pPr>
              <w:rPr>
                <w:b/>
                <w:sz w:val="22"/>
              </w:rPr>
            </w:pPr>
            <w:r>
              <w:rPr>
                <w:b/>
                <w:sz w:val="22"/>
              </w:rPr>
              <w:t>LPN to BSN:</w:t>
            </w:r>
          </w:p>
        </w:tc>
        <w:tc>
          <w:tcPr>
            <w:tcW w:w="9543" w:type="dxa"/>
          </w:tcPr>
          <w:p w:rsidR="007A5234" w:rsidRPr="0018371F" w:rsidRDefault="007A5234" w:rsidP="0018371F">
            <w:pPr>
              <w:rPr>
                <w:sz w:val="22"/>
              </w:rPr>
            </w:pPr>
            <w:r w:rsidRPr="0018371F">
              <w:rPr>
                <w:sz w:val="22"/>
              </w:rPr>
              <w:t xml:space="preserve">To date, the committee has met three times in 2019 (October-December). The committee is comprised of broad sector representation (public and private) and also includes key representation from industry representatives, to include the Nursing Commission. Ongoing conversation has led to drafts of LPN to BSN degree pathways. The committee reviewed and considered diverse LPN to BSN models within the SBCTC system and some outside of the state (ex. Michigan). The goal is to have information to present to JTC by spring/summer 2020. </w:t>
            </w:r>
          </w:p>
        </w:tc>
      </w:tr>
      <w:tr w:rsidR="007A5234" w:rsidRPr="000B7715" w:rsidTr="00EB234F">
        <w:tc>
          <w:tcPr>
            <w:tcW w:w="1707" w:type="dxa"/>
            <w:shd w:val="clear" w:color="auto" w:fill="FFFFFF" w:themeFill="background1"/>
          </w:tcPr>
          <w:p w:rsidR="007A5234" w:rsidRPr="007A5234" w:rsidRDefault="007A5234">
            <w:pPr>
              <w:rPr>
                <w:b/>
                <w:sz w:val="22"/>
              </w:rPr>
            </w:pPr>
            <w:r>
              <w:rPr>
                <w:b/>
                <w:sz w:val="22"/>
              </w:rPr>
              <w:t>MRP/DTA Allied Health</w:t>
            </w:r>
          </w:p>
        </w:tc>
        <w:tc>
          <w:tcPr>
            <w:tcW w:w="9543" w:type="dxa"/>
          </w:tcPr>
          <w:p w:rsidR="007A5234" w:rsidRPr="0018371F" w:rsidRDefault="007A5234" w:rsidP="007A5234">
            <w:pPr>
              <w:rPr>
                <w:sz w:val="22"/>
              </w:rPr>
            </w:pPr>
            <w:r w:rsidRPr="0018371F">
              <w:rPr>
                <w:sz w:val="22"/>
              </w:rPr>
              <w:t>The working committee continues to gather information to make informed decisions related to a possible Allied Health DTA/MRP degree. Findings will be report</w:t>
            </w:r>
            <w:r w:rsidR="0018371F" w:rsidRPr="0018371F">
              <w:rPr>
                <w:sz w:val="22"/>
              </w:rPr>
              <w:t xml:space="preserve">ed out to JTC. </w:t>
            </w:r>
            <w:r w:rsidRPr="0018371F">
              <w:rPr>
                <w:sz w:val="22"/>
              </w:rPr>
              <w:t>The next meeti</w:t>
            </w:r>
            <w:r w:rsidR="0018371F" w:rsidRPr="0018371F">
              <w:rPr>
                <w:sz w:val="22"/>
              </w:rPr>
              <w:t>ng is February 10.</w:t>
            </w:r>
          </w:p>
        </w:tc>
      </w:tr>
      <w:tr w:rsidR="00047D89" w:rsidRPr="000B7715" w:rsidTr="00EB234F">
        <w:tc>
          <w:tcPr>
            <w:tcW w:w="1707" w:type="dxa"/>
            <w:shd w:val="clear" w:color="auto" w:fill="FFFFFF" w:themeFill="background1"/>
          </w:tcPr>
          <w:p w:rsidR="00047D89" w:rsidRPr="000B7715" w:rsidRDefault="00047D89">
            <w:pPr>
              <w:rPr>
                <w:b/>
                <w:sz w:val="22"/>
              </w:rPr>
            </w:pPr>
            <w:r>
              <w:rPr>
                <w:b/>
                <w:sz w:val="22"/>
              </w:rPr>
              <w:t>Assessment, Teaching</w:t>
            </w:r>
            <w:r w:rsidR="00400A7F">
              <w:rPr>
                <w:b/>
                <w:sz w:val="22"/>
              </w:rPr>
              <w:t>,</w:t>
            </w:r>
            <w:r>
              <w:rPr>
                <w:b/>
                <w:sz w:val="22"/>
              </w:rPr>
              <w:t xml:space="preserve"> and Learning</w:t>
            </w:r>
          </w:p>
        </w:tc>
        <w:tc>
          <w:tcPr>
            <w:tcW w:w="9543" w:type="dxa"/>
          </w:tcPr>
          <w:p w:rsidR="00997EED" w:rsidRPr="0018371F" w:rsidRDefault="00997EED" w:rsidP="00997EED">
            <w:pPr>
              <w:rPr>
                <w:sz w:val="22"/>
              </w:rPr>
            </w:pPr>
            <w:r w:rsidRPr="0018371F">
              <w:rPr>
                <w:sz w:val="22"/>
              </w:rPr>
              <w:t>As part of our ongoing math pathways partnership with the UT-Austin Dana Center, we are co-sponsoring a webinar on Differentiating Instruction through Active Learning Strategies led by Joan Zellner, former Clark faculty member, 3-5 pm on January 23rd. For more information or to register go to http://bit.ly/di23jan (note: this is NOT just for math faculty).</w:t>
            </w:r>
          </w:p>
          <w:p w:rsidR="00997EED" w:rsidRPr="0018371F" w:rsidRDefault="00997EED" w:rsidP="00997EED">
            <w:pPr>
              <w:rPr>
                <w:sz w:val="22"/>
              </w:rPr>
            </w:pPr>
          </w:p>
          <w:p w:rsidR="00997EED" w:rsidRPr="0018371F" w:rsidRDefault="00997EED" w:rsidP="00997EED">
            <w:pPr>
              <w:rPr>
                <w:sz w:val="22"/>
              </w:rPr>
            </w:pPr>
            <w:r w:rsidRPr="0018371F">
              <w:rPr>
                <w:sz w:val="22"/>
              </w:rPr>
              <w:t xml:space="preserve">Jen Whetham is facilitating a winter quarter series of webinars focused the role of faculty in guided pathways efforts and related shifts in instructional approaches to support student success as discussed in Redesigning America’s Community Colleges (Bailey, Jaggers and Jenkins). The sessions are set for 1/8, 1/13, 1/23, 1/28, and 2/7; for more information or to register for individual sessions email Jen (jwhetham@sbctc.edu). The sessions are also being recorded; the first session can be seen at http://bit.ly/2T7vnvK, with the slides available at http://bit.ly/2tweTCO. </w:t>
            </w:r>
          </w:p>
          <w:p w:rsidR="00997EED" w:rsidRPr="0018371F" w:rsidRDefault="00997EED" w:rsidP="00997EED">
            <w:pPr>
              <w:rPr>
                <w:sz w:val="22"/>
              </w:rPr>
            </w:pPr>
          </w:p>
          <w:p w:rsidR="00997EED" w:rsidRPr="0018371F" w:rsidRDefault="00997EED" w:rsidP="00997EED">
            <w:pPr>
              <w:rPr>
                <w:sz w:val="22"/>
              </w:rPr>
            </w:pPr>
            <w:r w:rsidRPr="0018371F">
              <w:rPr>
                <w:sz w:val="22"/>
              </w:rPr>
              <w:t>The quarterly retreat gatherings for faculty, staff and administrators charged with faculty development and/or assessment responsibilities for their campuses is focused specifically this year on supporting colleges to engage faculty constructively in their guided pathways implementation efforts. The winter quarter meeting is March 26-27, 2020; for more information see https://www.sbctc.edu/colleges-staff/programs-services/assessment-teaching-learning/atl-quarterly-retreats.aspx.</w:t>
            </w:r>
          </w:p>
          <w:p w:rsidR="00997EED" w:rsidRPr="0018371F" w:rsidRDefault="00997EED" w:rsidP="00997EED">
            <w:pPr>
              <w:rPr>
                <w:sz w:val="22"/>
              </w:rPr>
            </w:pPr>
          </w:p>
          <w:p w:rsidR="00997EED" w:rsidRPr="0018371F" w:rsidRDefault="00997EED" w:rsidP="00400A7F">
            <w:pPr>
              <w:rPr>
                <w:sz w:val="22"/>
              </w:rPr>
            </w:pPr>
            <w:r w:rsidRPr="0018371F">
              <w:rPr>
                <w:sz w:val="22"/>
              </w:rPr>
              <w:t>The spring ATL statewide conference (May 6-8, 2020, in Lynnwood) will include a major focus on key implementation issues related to guided pathways, and in particular good practices focused on successful faculty engagement in the work.</w:t>
            </w:r>
          </w:p>
        </w:tc>
      </w:tr>
      <w:tr w:rsidR="00801E96" w:rsidRPr="000B7715" w:rsidTr="00EB234F">
        <w:tc>
          <w:tcPr>
            <w:tcW w:w="1707" w:type="dxa"/>
            <w:shd w:val="clear" w:color="auto" w:fill="FFFFFF" w:themeFill="background1"/>
          </w:tcPr>
          <w:p w:rsidR="00801E96" w:rsidRPr="000B7715" w:rsidRDefault="00997EED">
            <w:pPr>
              <w:rPr>
                <w:b/>
                <w:sz w:val="22"/>
              </w:rPr>
            </w:pPr>
            <w:r>
              <w:rPr>
                <w:b/>
                <w:sz w:val="22"/>
              </w:rPr>
              <w:t>Launch Years Grant</w:t>
            </w:r>
          </w:p>
        </w:tc>
        <w:tc>
          <w:tcPr>
            <w:tcW w:w="9543" w:type="dxa"/>
          </w:tcPr>
          <w:p w:rsidR="00997EED" w:rsidRPr="00400A7F" w:rsidRDefault="00997EED" w:rsidP="00400A7F">
            <w:pPr>
              <w:rPr>
                <w:sz w:val="22"/>
              </w:rPr>
            </w:pPr>
            <w:r w:rsidRPr="00997EED">
              <w:rPr>
                <w:sz w:val="22"/>
              </w:rPr>
              <w:t>SBCTC is participating in a multi-year, multi-state (WA, GA, TX) initiative focused on re-thinking high school math pathways that extend into postsecondary education and improve student success in math, especially for historically underserved students. In addition to national level work, the initiative includes a statewide steering committee and targeted regional work in each state (the Spokane area for Washington). The work in Washington is being led by OSPI, with the first statewide steering committee meeting set for January 28th. For more information see https://www.utdanacenter.org/our-work/k-12-education/launch-years or contact Bill Moore at SBCTC (bmoore@sbctc.edu).</w:t>
            </w:r>
          </w:p>
        </w:tc>
      </w:tr>
      <w:tr w:rsidR="00EB234F" w:rsidRPr="000B7715" w:rsidTr="00EB234F">
        <w:tc>
          <w:tcPr>
            <w:tcW w:w="1707" w:type="dxa"/>
            <w:shd w:val="clear" w:color="auto" w:fill="FFFFFF" w:themeFill="background1"/>
          </w:tcPr>
          <w:p w:rsidR="00EB234F" w:rsidRPr="000B7715" w:rsidRDefault="00EB234F">
            <w:pPr>
              <w:rPr>
                <w:b/>
                <w:sz w:val="22"/>
              </w:rPr>
            </w:pPr>
            <w:r w:rsidRPr="0018371F">
              <w:rPr>
                <w:b/>
                <w:sz w:val="22"/>
              </w:rPr>
              <w:t>Career Connect WA</w:t>
            </w:r>
          </w:p>
        </w:tc>
        <w:tc>
          <w:tcPr>
            <w:tcW w:w="9543" w:type="dxa"/>
          </w:tcPr>
          <w:p w:rsidR="00400A7F" w:rsidRPr="007153B9" w:rsidRDefault="00EB234F" w:rsidP="0018371F">
            <w:pPr>
              <w:rPr>
                <w:sz w:val="22"/>
              </w:rPr>
            </w:pPr>
            <w:r>
              <w:rPr>
                <w:sz w:val="22"/>
              </w:rPr>
              <w:t>The Career Launch Endorsement Review (CLER) p</w:t>
            </w:r>
            <w:r w:rsidR="00B72A69">
              <w:rPr>
                <w:sz w:val="22"/>
              </w:rPr>
              <w:t xml:space="preserve">rocess is </w:t>
            </w:r>
            <w:r w:rsidR="00FB0D1E">
              <w:rPr>
                <w:sz w:val="22"/>
              </w:rPr>
              <w:t>live and accepting endorsement applications</w:t>
            </w:r>
            <w:r w:rsidR="00B72A69">
              <w:rPr>
                <w:sz w:val="22"/>
              </w:rPr>
              <w:t xml:space="preserve">. </w:t>
            </w:r>
            <w:r w:rsidR="00FB0D1E">
              <w:rPr>
                <w:sz w:val="22"/>
              </w:rPr>
              <w:t xml:space="preserve">Additional details on Career Launch Endorsement and available funding opportunities can be found at </w:t>
            </w:r>
            <w:hyperlink r:id="rId10" w:history="1">
              <w:r w:rsidR="00FB0D1E" w:rsidRPr="00832EA0">
                <w:rPr>
                  <w:rStyle w:val="Hyperlink"/>
                  <w:sz w:val="22"/>
                </w:rPr>
                <w:t>https://www.sbctc.edu/career-launch</w:t>
              </w:r>
            </w:hyperlink>
            <w:r w:rsidR="00FB0D1E">
              <w:rPr>
                <w:sz w:val="22"/>
              </w:rPr>
              <w:t xml:space="preserve">. </w:t>
            </w:r>
            <w:r w:rsidR="00B72A69">
              <w:rPr>
                <w:sz w:val="22"/>
              </w:rPr>
              <w:t xml:space="preserve"> </w:t>
            </w:r>
            <w:r w:rsidR="00400A7F">
              <w:rPr>
                <w:sz w:val="22"/>
              </w:rPr>
              <w:t xml:space="preserve">CLER applications are reviewed once a month.  </w:t>
            </w:r>
            <w:r w:rsidR="0018371F">
              <w:rPr>
                <w:sz w:val="22"/>
              </w:rPr>
              <w:t xml:space="preserve">This endorsement opens up two other funding streams to colleges—FTE Enrollment Growth and Equipment for Career Launch endorsed programs. </w:t>
            </w:r>
          </w:p>
        </w:tc>
      </w:tr>
      <w:tr w:rsidR="00EB234F" w:rsidRPr="000B7715" w:rsidTr="00EB234F">
        <w:tc>
          <w:tcPr>
            <w:tcW w:w="1707" w:type="dxa"/>
            <w:shd w:val="clear" w:color="auto" w:fill="FFFFFF" w:themeFill="background1"/>
          </w:tcPr>
          <w:p w:rsidR="00EB234F" w:rsidRPr="000B7715" w:rsidRDefault="005C70B6">
            <w:pPr>
              <w:rPr>
                <w:b/>
                <w:sz w:val="22"/>
              </w:rPr>
            </w:pPr>
            <w:r w:rsidRPr="0018371F">
              <w:rPr>
                <w:b/>
                <w:sz w:val="22"/>
              </w:rPr>
              <w:t>Leadership Development Review Work Group</w:t>
            </w:r>
          </w:p>
        </w:tc>
        <w:tc>
          <w:tcPr>
            <w:tcW w:w="9543" w:type="dxa"/>
          </w:tcPr>
          <w:p w:rsidR="00EB234F" w:rsidRPr="007153B9" w:rsidRDefault="0018371F" w:rsidP="0018371F">
            <w:pPr>
              <w:rPr>
                <w:sz w:val="22"/>
              </w:rPr>
            </w:pPr>
            <w:r>
              <w:rPr>
                <w:sz w:val="22"/>
              </w:rPr>
              <w:t>The SBCTC</w:t>
            </w:r>
            <w:r w:rsidR="00400A7F">
              <w:rPr>
                <w:sz w:val="22"/>
              </w:rPr>
              <w:t xml:space="preserve"> has convened a work group to examine leadership development opportunities in the system—especially reviewing Washington Executive Leadership Academy (WELA) and CTC LDA. </w:t>
            </w:r>
            <w:r>
              <w:rPr>
                <w:sz w:val="22"/>
              </w:rPr>
              <w:t xml:space="preserve">Recommendations will be presented to WACTC in Winter Quarter. </w:t>
            </w:r>
          </w:p>
        </w:tc>
      </w:tr>
      <w:tr w:rsidR="00EB234F" w:rsidRPr="000B7715" w:rsidTr="00EB234F">
        <w:tc>
          <w:tcPr>
            <w:tcW w:w="1707" w:type="dxa"/>
            <w:shd w:val="clear" w:color="auto" w:fill="FFFFFF" w:themeFill="background1"/>
          </w:tcPr>
          <w:p w:rsidR="00EB234F" w:rsidRDefault="005C70B6">
            <w:pPr>
              <w:rPr>
                <w:b/>
                <w:sz w:val="22"/>
              </w:rPr>
            </w:pPr>
            <w:r w:rsidRPr="0018371F">
              <w:rPr>
                <w:b/>
                <w:sz w:val="22"/>
              </w:rPr>
              <w:t>WACTC Equity Committee</w:t>
            </w:r>
          </w:p>
        </w:tc>
        <w:tc>
          <w:tcPr>
            <w:tcW w:w="9543" w:type="dxa"/>
          </w:tcPr>
          <w:p w:rsidR="00EB234F" w:rsidRDefault="00400A7F" w:rsidP="00C2519D">
            <w:pPr>
              <w:rPr>
                <w:sz w:val="22"/>
              </w:rPr>
            </w:pPr>
            <w:r>
              <w:rPr>
                <w:sz w:val="22"/>
              </w:rPr>
              <w:t xml:space="preserve">The presidents approved the formation of a new committee to their committee structure bylaws this past summer. They added the Equity Committee and will be working on the recommendations of the Equity Policy Audit committees that were developed under the Critical Issues Committee. </w:t>
            </w:r>
          </w:p>
          <w:p w:rsidR="00400A7F" w:rsidRDefault="00400A7F" w:rsidP="00C2519D">
            <w:pPr>
              <w:rPr>
                <w:sz w:val="22"/>
              </w:rPr>
            </w:pPr>
          </w:p>
          <w:p w:rsidR="00400A7F" w:rsidRPr="007153B9" w:rsidRDefault="0018371F" w:rsidP="001C2F35">
            <w:pPr>
              <w:rPr>
                <w:sz w:val="22"/>
              </w:rPr>
            </w:pPr>
            <w:r>
              <w:rPr>
                <w:sz w:val="22"/>
              </w:rPr>
              <w:t>T</w:t>
            </w:r>
            <w:r w:rsidR="001C2F35">
              <w:rPr>
                <w:sz w:val="22"/>
              </w:rPr>
              <w:t xml:space="preserve">he Equity Committee will be analyzing the results of the </w:t>
            </w:r>
            <w:r w:rsidR="00400A7F">
              <w:rPr>
                <w:sz w:val="22"/>
              </w:rPr>
              <w:t>Equity Resource Bank survey—</w:t>
            </w:r>
            <w:r w:rsidR="001C2F35">
              <w:rPr>
                <w:sz w:val="22"/>
              </w:rPr>
              <w:t xml:space="preserve">and present their findings to WACTC in April. </w:t>
            </w:r>
            <w:r w:rsidR="0000618B">
              <w:rPr>
                <w:sz w:val="22"/>
              </w:rPr>
              <w:t xml:space="preserve">This resource bank will be a living repository of best practices for the state system. </w:t>
            </w:r>
          </w:p>
        </w:tc>
      </w:tr>
      <w:tr w:rsidR="00EB234F" w:rsidRPr="000B7715" w:rsidTr="00EB234F">
        <w:tc>
          <w:tcPr>
            <w:tcW w:w="1707" w:type="dxa"/>
            <w:shd w:val="clear" w:color="auto" w:fill="FFFFFF" w:themeFill="background1"/>
          </w:tcPr>
          <w:p w:rsidR="00EB234F" w:rsidRPr="000B7715" w:rsidRDefault="00EB234F">
            <w:pPr>
              <w:rPr>
                <w:b/>
                <w:sz w:val="22"/>
              </w:rPr>
            </w:pPr>
            <w:r w:rsidRPr="001C2F35">
              <w:rPr>
                <w:b/>
                <w:sz w:val="22"/>
              </w:rPr>
              <w:t>Strategic Enrollment Taskforce</w:t>
            </w:r>
          </w:p>
        </w:tc>
        <w:tc>
          <w:tcPr>
            <w:tcW w:w="9543" w:type="dxa"/>
          </w:tcPr>
          <w:p w:rsidR="00EB234F" w:rsidRPr="000B7715" w:rsidRDefault="00EB234F">
            <w:pPr>
              <w:rPr>
                <w:sz w:val="22"/>
              </w:rPr>
            </w:pPr>
            <w:r>
              <w:rPr>
                <w:sz w:val="22"/>
              </w:rPr>
              <w:t xml:space="preserve"> </w:t>
            </w:r>
            <w:r w:rsidRPr="002311A3">
              <w:rPr>
                <w:sz w:val="22"/>
              </w:rPr>
              <w:t>The Taskforce</w:t>
            </w:r>
            <w:r w:rsidR="00D06054">
              <w:rPr>
                <w:sz w:val="22"/>
              </w:rPr>
              <w:t xml:space="preserve"> held</w:t>
            </w:r>
            <w:r w:rsidRPr="002311A3">
              <w:rPr>
                <w:sz w:val="22"/>
              </w:rPr>
              <w:t xml:space="preserve"> its final meeting in April. A report and recommendations</w:t>
            </w:r>
            <w:r w:rsidR="00D06054">
              <w:rPr>
                <w:sz w:val="22"/>
              </w:rPr>
              <w:t xml:space="preserve"> were </w:t>
            </w:r>
            <w:r w:rsidRPr="002311A3">
              <w:rPr>
                <w:sz w:val="22"/>
              </w:rPr>
              <w:t xml:space="preserve">presented to the WACTC Educational Services Committee in June, full WACTC in July, and the State Board in </w:t>
            </w:r>
            <w:r w:rsidR="00D06054">
              <w:rPr>
                <w:sz w:val="22"/>
              </w:rPr>
              <w:t xml:space="preserve">October </w:t>
            </w:r>
            <w:r w:rsidR="0000618B">
              <w:rPr>
                <w:sz w:val="22"/>
              </w:rPr>
              <w:t xml:space="preserve">. The report </w:t>
            </w:r>
            <w:r w:rsidRPr="002311A3">
              <w:rPr>
                <w:sz w:val="22"/>
              </w:rPr>
              <w:t>cover</w:t>
            </w:r>
            <w:r w:rsidR="0000618B">
              <w:rPr>
                <w:sz w:val="22"/>
              </w:rPr>
              <w:t>s</w:t>
            </w:r>
            <w:r w:rsidRPr="002311A3">
              <w:rPr>
                <w:sz w:val="22"/>
              </w:rPr>
              <w:t xml:space="preserve"> the four focus areas of K-12 Alignment, Adult Re-engagement, Onboarding/Entry, and Retention/Persistence</w:t>
            </w:r>
            <w:r w:rsidR="0000618B">
              <w:rPr>
                <w:sz w:val="22"/>
              </w:rPr>
              <w:t>.</w:t>
            </w:r>
            <w:r w:rsidR="001C2F35">
              <w:rPr>
                <w:sz w:val="22"/>
              </w:rPr>
              <w:t xml:space="preserve"> The State Board approved the report and recommendations of the taskforce in December. The WACTC Educational Services Committee is leading WACTC discussions and implementation of recommendations this year. </w:t>
            </w:r>
          </w:p>
        </w:tc>
      </w:tr>
      <w:tr w:rsidR="00EB234F" w:rsidRPr="000B7715" w:rsidTr="00EB234F">
        <w:tc>
          <w:tcPr>
            <w:tcW w:w="1707" w:type="dxa"/>
            <w:shd w:val="clear" w:color="auto" w:fill="FFFFFF" w:themeFill="background1"/>
          </w:tcPr>
          <w:p w:rsidR="00EB234F" w:rsidRPr="00862E7B" w:rsidRDefault="00EB234F">
            <w:pPr>
              <w:rPr>
                <w:b/>
                <w:sz w:val="22"/>
              </w:rPr>
            </w:pPr>
            <w:r w:rsidRPr="005D2E9C">
              <w:rPr>
                <w:b/>
                <w:sz w:val="22"/>
              </w:rPr>
              <w:t>Personnel</w:t>
            </w:r>
          </w:p>
        </w:tc>
        <w:tc>
          <w:tcPr>
            <w:tcW w:w="9543" w:type="dxa"/>
          </w:tcPr>
          <w:p w:rsidR="00EB234F" w:rsidRDefault="00C362B8" w:rsidP="00862E7B">
            <w:pPr>
              <w:rPr>
                <w:sz w:val="22"/>
              </w:rPr>
            </w:pPr>
            <w:r>
              <w:rPr>
                <w:sz w:val="22"/>
              </w:rPr>
              <w:t>Associate Director of Campus Solutions: Ana Ybarra</w:t>
            </w:r>
          </w:p>
          <w:p w:rsidR="00C362B8" w:rsidRPr="00C362B8" w:rsidRDefault="005D2E9C" w:rsidP="00C362B8">
            <w:pPr>
              <w:rPr>
                <w:sz w:val="22"/>
              </w:rPr>
            </w:pPr>
            <w:r>
              <w:rPr>
                <w:sz w:val="22"/>
              </w:rPr>
              <w:t>Program Coordinator</w:t>
            </w:r>
            <w:r w:rsidR="00AC72D0">
              <w:rPr>
                <w:sz w:val="22"/>
              </w:rPr>
              <w:t xml:space="preserve">: </w:t>
            </w:r>
            <w:r>
              <w:rPr>
                <w:sz w:val="22"/>
              </w:rPr>
              <w:t xml:space="preserve"> </w:t>
            </w:r>
            <w:r w:rsidR="00C362B8" w:rsidRPr="00C362B8">
              <w:rPr>
                <w:sz w:val="22"/>
              </w:rPr>
              <w:t xml:space="preserve">Dylan Jilek, </w:t>
            </w:r>
            <w:r>
              <w:rPr>
                <w:sz w:val="22"/>
              </w:rPr>
              <w:t xml:space="preserve">Workforce Education Department </w:t>
            </w:r>
          </w:p>
          <w:p w:rsidR="00C362B8" w:rsidRPr="00C362B8" w:rsidRDefault="005D2E9C" w:rsidP="00C362B8">
            <w:pPr>
              <w:rPr>
                <w:sz w:val="22"/>
              </w:rPr>
            </w:pPr>
            <w:r>
              <w:rPr>
                <w:sz w:val="22"/>
              </w:rPr>
              <w:t>Program Assistant, Education Division Grants, Karen Diehl</w:t>
            </w:r>
          </w:p>
          <w:p w:rsidR="00C362B8" w:rsidRPr="00862E7B" w:rsidRDefault="005D2E9C" w:rsidP="00C362B8">
            <w:pPr>
              <w:rPr>
                <w:sz w:val="22"/>
              </w:rPr>
            </w:pPr>
            <w:r>
              <w:rPr>
                <w:sz w:val="22"/>
              </w:rPr>
              <w:t>Functional A</w:t>
            </w:r>
            <w:r w:rsidR="00C362B8" w:rsidRPr="00C362B8">
              <w:rPr>
                <w:sz w:val="22"/>
              </w:rPr>
              <w:t>nalyst for Financial Aid, Campus Solutions</w:t>
            </w:r>
            <w:r>
              <w:rPr>
                <w:sz w:val="22"/>
              </w:rPr>
              <w:t xml:space="preserve">, </w:t>
            </w:r>
            <w:r w:rsidRPr="005D2E9C">
              <w:rPr>
                <w:sz w:val="22"/>
              </w:rPr>
              <w:t>Marjorie Facio,</w:t>
            </w:r>
          </w:p>
        </w:tc>
      </w:tr>
      <w:tr w:rsidR="00EB234F" w:rsidRPr="000B7715" w:rsidTr="00EB234F">
        <w:tc>
          <w:tcPr>
            <w:tcW w:w="1707" w:type="dxa"/>
            <w:shd w:val="clear" w:color="auto" w:fill="FFFFFF" w:themeFill="background1"/>
          </w:tcPr>
          <w:p w:rsidR="00EB234F" w:rsidRPr="00C362B8" w:rsidRDefault="00EB234F">
            <w:pPr>
              <w:rPr>
                <w:b/>
                <w:sz w:val="22"/>
                <w:highlight w:val="green"/>
              </w:rPr>
            </w:pPr>
            <w:r w:rsidRPr="001C2F35">
              <w:rPr>
                <w:b/>
                <w:sz w:val="22"/>
              </w:rPr>
              <w:t>CtCLink &amp; IC: Process for enhancement</w:t>
            </w:r>
          </w:p>
        </w:tc>
        <w:tc>
          <w:tcPr>
            <w:tcW w:w="9543" w:type="dxa"/>
          </w:tcPr>
          <w:p w:rsidR="00EB234F" w:rsidRPr="001C2F35" w:rsidRDefault="00C362B8" w:rsidP="00C362B8">
            <w:pPr>
              <w:rPr>
                <w:sz w:val="22"/>
              </w:rPr>
            </w:pPr>
            <w:r w:rsidRPr="001C2F35">
              <w:rPr>
                <w:sz w:val="22"/>
              </w:rPr>
              <w:t xml:space="preserve">IC/CTC Link </w:t>
            </w:r>
            <w:r w:rsidR="001C2F35" w:rsidRPr="001C2F35">
              <w:rPr>
                <w:sz w:val="22"/>
              </w:rPr>
              <w:t>subcommittee</w:t>
            </w:r>
            <w:r w:rsidRPr="001C2F35">
              <w:rPr>
                <w:sz w:val="22"/>
              </w:rPr>
              <w:t xml:space="preserve"> met twice about some questions </w:t>
            </w:r>
            <w:r w:rsidR="001C2F35">
              <w:rPr>
                <w:sz w:val="22"/>
              </w:rPr>
              <w:t>that come from colleges who have transitioned to Peoplesoft. The subcommittee has worked on grades for ABE courses, printing rosters and schedules, and common course numbered classes.</w:t>
            </w:r>
          </w:p>
        </w:tc>
      </w:tr>
      <w:tr w:rsidR="00EB234F" w:rsidRPr="000B7715" w:rsidTr="00EB234F">
        <w:tc>
          <w:tcPr>
            <w:tcW w:w="1707" w:type="dxa"/>
            <w:shd w:val="clear" w:color="auto" w:fill="FFFFFF" w:themeFill="background1"/>
          </w:tcPr>
          <w:p w:rsidR="00EB234F" w:rsidRDefault="00EB234F" w:rsidP="002311A3">
            <w:pPr>
              <w:rPr>
                <w:b/>
                <w:sz w:val="22"/>
              </w:rPr>
            </w:pPr>
            <w:r w:rsidRPr="001C2F35">
              <w:rPr>
                <w:b/>
                <w:sz w:val="22"/>
              </w:rPr>
              <w:t>RealCollege Survey of Basic Needs (HOPE Center)</w:t>
            </w:r>
          </w:p>
        </w:tc>
        <w:tc>
          <w:tcPr>
            <w:tcW w:w="9543" w:type="dxa"/>
          </w:tcPr>
          <w:p w:rsidR="00EB234F" w:rsidRPr="0066499F" w:rsidRDefault="001C2F35" w:rsidP="002311A3">
            <w:pPr>
              <w:rPr>
                <w:sz w:val="22"/>
              </w:rPr>
            </w:pPr>
            <w:r w:rsidRPr="001C2F35">
              <w:rPr>
                <w:sz w:val="22"/>
              </w:rPr>
              <w:t>29 of our colleges participated in the HOPE Cen</w:t>
            </w:r>
            <w:r>
              <w:rPr>
                <w:sz w:val="22"/>
              </w:rPr>
              <w:t xml:space="preserve">ter RealCollege survey in Fall </w:t>
            </w:r>
            <w:r w:rsidRPr="001C2F35">
              <w:rPr>
                <w:sz w:val="22"/>
              </w:rPr>
              <w:t>2019. Our colleges’ participation will support Senator Murray’s efforts in the re-authorization of the Higher Education Act.  Survey results will be released in the March-April timeframe, beginning with a summary at the March WACTC meeting.</w:t>
            </w:r>
          </w:p>
        </w:tc>
      </w:tr>
      <w:tr w:rsidR="00997EED" w:rsidRPr="000B7715" w:rsidTr="00EB234F">
        <w:tc>
          <w:tcPr>
            <w:tcW w:w="1707" w:type="dxa"/>
            <w:shd w:val="clear" w:color="auto" w:fill="FFFFFF" w:themeFill="background1"/>
          </w:tcPr>
          <w:p w:rsidR="00997EED" w:rsidRDefault="00997EED" w:rsidP="002311A3">
            <w:pPr>
              <w:rPr>
                <w:b/>
                <w:sz w:val="22"/>
              </w:rPr>
            </w:pPr>
            <w:r w:rsidRPr="00997EED">
              <w:rPr>
                <w:b/>
                <w:sz w:val="22"/>
              </w:rPr>
              <w:t>Financial Aid Train-the-Trainer Initiative</w:t>
            </w:r>
          </w:p>
        </w:tc>
        <w:tc>
          <w:tcPr>
            <w:tcW w:w="9543" w:type="dxa"/>
          </w:tcPr>
          <w:p w:rsidR="00997EED" w:rsidRDefault="00997EED" w:rsidP="00997EED">
            <w:pPr>
              <w:rPr>
                <w:sz w:val="22"/>
              </w:rPr>
            </w:pPr>
            <w:r w:rsidRPr="00997EED">
              <w:rPr>
                <w:sz w:val="22"/>
              </w:rPr>
              <w:t>In collaboration with the Washington Student Achievement Council</w:t>
            </w:r>
            <w:r>
              <w:rPr>
                <w:sz w:val="22"/>
              </w:rPr>
              <w:t xml:space="preserve"> (WSAC)</w:t>
            </w:r>
            <w:r w:rsidRPr="00997EED">
              <w:rPr>
                <w:sz w:val="22"/>
              </w:rPr>
              <w:t>, the Council of Presidents, and the Independent Colleges of Washington, our sector is leading a financial aid “train-the-trainer” initiative that will put tools in the hands of college student services staff to extend financial aid application assistance into their communities. Seven workshops will be conducted around the state during the week of January 27th, followed by a webinar version of the workshop on February 4th.</w:t>
            </w:r>
          </w:p>
        </w:tc>
      </w:tr>
      <w:tr w:rsidR="00EB234F" w:rsidRPr="000B7715" w:rsidTr="00EB234F">
        <w:tc>
          <w:tcPr>
            <w:tcW w:w="1707" w:type="dxa"/>
            <w:shd w:val="clear" w:color="auto" w:fill="FFFFFF" w:themeFill="background1"/>
          </w:tcPr>
          <w:p w:rsidR="00EB234F" w:rsidRDefault="00EB234F" w:rsidP="002311A3">
            <w:pPr>
              <w:rPr>
                <w:b/>
                <w:sz w:val="22"/>
              </w:rPr>
            </w:pPr>
            <w:r w:rsidRPr="001C2F35">
              <w:rPr>
                <w:b/>
                <w:sz w:val="22"/>
              </w:rPr>
              <w:t>Workforce Education</w:t>
            </w:r>
            <w:r>
              <w:rPr>
                <w:b/>
                <w:sz w:val="22"/>
              </w:rPr>
              <w:t xml:space="preserve"> </w:t>
            </w:r>
          </w:p>
          <w:p w:rsidR="005D2E9C" w:rsidRDefault="005D2E9C" w:rsidP="002311A3">
            <w:pPr>
              <w:rPr>
                <w:b/>
                <w:sz w:val="22"/>
              </w:rPr>
            </w:pPr>
          </w:p>
          <w:p w:rsidR="005D2E9C" w:rsidRDefault="005D2E9C" w:rsidP="002311A3">
            <w:pPr>
              <w:rPr>
                <w:b/>
                <w:sz w:val="22"/>
              </w:rPr>
            </w:pPr>
          </w:p>
        </w:tc>
        <w:tc>
          <w:tcPr>
            <w:tcW w:w="9543" w:type="dxa"/>
          </w:tcPr>
          <w:p w:rsidR="00A7301D" w:rsidRDefault="00A7301D" w:rsidP="00350EA7">
            <w:pPr>
              <w:rPr>
                <w:b/>
                <w:sz w:val="22"/>
                <w:u w:val="single"/>
              </w:rPr>
            </w:pPr>
            <w:r>
              <w:rPr>
                <w:b/>
                <w:sz w:val="22"/>
                <w:u w:val="single"/>
              </w:rPr>
              <w:t>Credentials of Value Institute (COVI)</w:t>
            </w:r>
          </w:p>
          <w:p w:rsidR="00A7301D" w:rsidRPr="00F5274A" w:rsidRDefault="00A7301D" w:rsidP="00350EA7">
            <w:pPr>
              <w:rPr>
                <w:sz w:val="22"/>
              </w:rPr>
            </w:pPr>
            <w:r w:rsidRPr="00350EA7">
              <w:rPr>
                <w:sz w:val="22"/>
              </w:rPr>
              <w:t>W</w:t>
            </w:r>
            <w:r>
              <w:rPr>
                <w:sz w:val="22"/>
              </w:rPr>
              <w:t xml:space="preserve">ith generous support from Education Strategy Group supported by Lumina Foundation, SBCTC Workforce Education in collaboration with our partners at OSPI, ESD, and the WTB </w:t>
            </w:r>
            <w:r w:rsidR="005C3915">
              <w:rPr>
                <w:sz w:val="22"/>
              </w:rPr>
              <w:t>are participating</w:t>
            </w:r>
            <w:r>
              <w:rPr>
                <w:sz w:val="22"/>
              </w:rPr>
              <w:t xml:space="preserve"> in </w:t>
            </w:r>
            <w:r w:rsidRPr="00A7301D">
              <w:rPr>
                <w:sz w:val="22"/>
              </w:rPr>
              <w:t>a one-year cohort-based,</w:t>
            </w:r>
            <w:r>
              <w:rPr>
                <w:sz w:val="22"/>
              </w:rPr>
              <w:t xml:space="preserve"> </w:t>
            </w:r>
            <w:r w:rsidRPr="00A7301D">
              <w:rPr>
                <w:sz w:val="22"/>
              </w:rPr>
              <w:t>cross-sector initiative that will support six leading states – Florida, Kentucky, Massachusetts, North</w:t>
            </w:r>
            <w:r>
              <w:rPr>
                <w:sz w:val="22"/>
              </w:rPr>
              <w:t xml:space="preserve"> </w:t>
            </w:r>
            <w:r w:rsidRPr="00A7301D">
              <w:rPr>
                <w:sz w:val="22"/>
              </w:rPr>
              <w:t>Carolina, Ohio, and Washington- committed to pushing themselves and the field to rigorously and</w:t>
            </w:r>
            <w:r>
              <w:rPr>
                <w:sz w:val="22"/>
              </w:rPr>
              <w:t xml:space="preserve"> </w:t>
            </w:r>
            <w:r w:rsidRPr="00A7301D">
              <w:rPr>
                <w:sz w:val="22"/>
              </w:rPr>
              <w:t>reliably identify non-degree credentials</w:t>
            </w:r>
            <w:r w:rsidR="005C3915">
              <w:rPr>
                <w:sz w:val="22"/>
              </w:rPr>
              <w:t xml:space="preserve"> linked to in-demand</w:t>
            </w:r>
            <w:r w:rsidRPr="00A7301D">
              <w:rPr>
                <w:sz w:val="22"/>
              </w:rPr>
              <w:t>, high-wage occupations, and</w:t>
            </w:r>
            <w:r>
              <w:rPr>
                <w:sz w:val="22"/>
              </w:rPr>
              <w:t xml:space="preserve"> </w:t>
            </w:r>
            <w:r w:rsidRPr="00A7301D">
              <w:rPr>
                <w:sz w:val="22"/>
              </w:rPr>
              <w:t>increasing the number of learners who earn them.</w:t>
            </w:r>
            <w:r w:rsidR="005C3915">
              <w:rPr>
                <w:sz w:val="22"/>
              </w:rPr>
              <w:t xml:space="preserve"> </w:t>
            </w:r>
            <w:r>
              <w:rPr>
                <w:sz w:val="22"/>
              </w:rPr>
              <w:t>We are hopeful that this work will positi</w:t>
            </w:r>
            <w:r w:rsidR="005C3915">
              <w:rPr>
                <w:sz w:val="22"/>
              </w:rPr>
              <w:t>on Washington well as</w:t>
            </w:r>
            <w:r>
              <w:rPr>
                <w:sz w:val="22"/>
              </w:rPr>
              <w:t xml:space="preserve"> it works through strategic alignment between ESSA, Perkins, </w:t>
            </w:r>
            <w:r w:rsidR="005C3915">
              <w:rPr>
                <w:sz w:val="22"/>
              </w:rPr>
              <w:t xml:space="preserve">and </w:t>
            </w:r>
            <w:r>
              <w:rPr>
                <w:sz w:val="22"/>
              </w:rPr>
              <w:t xml:space="preserve">WIOA, </w:t>
            </w:r>
            <w:r w:rsidR="005C3915">
              <w:rPr>
                <w:sz w:val="22"/>
              </w:rPr>
              <w:t>as well as</w:t>
            </w:r>
            <w:r>
              <w:rPr>
                <w:sz w:val="22"/>
              </w:rPr>
              <w:t xml:space="preserve"> potential revisions to the HEA. </w:t>
            </w:r>
            <w:r w:rsidR="00CA31E4" w:rsidRPr="001C2F35">
              <w:rPr>
                <w:sz w:val="22"/>
              </w:rPr>
              <w:t>This work continues in under joint leadership with our partners at OSPI</w:t>
            </w:r>
            <w:r w:rsidR="007A2B57" w:rsidRPr="001C2F35">
              <w:rPr>
                <w:sz w:val="22"/>
              </w:rPr>
              <w:t xml:space="preserve"> with a focus on creating a transparent process for generating an Industry Recognized Credential (IRC) list useable with the state’s new graduation pathways in the secondary sector. We also hope to achieve alignment in this work between the secondary and postsecondary sectors. </w:t>
            </w:r>
          </w:p>
          <w:p w:rsidR="00EB234F" w:rsidRPr="00350EA7" w:rsidRDefault="00EB234F" w:rsidP="00350EA7">
            <w:pPr>
              <w:rPr>
                <w:b/>
                <w:sz w:val="22"/>
                <w:u w:val="single"/>
              </w:rPr>
            </w:pPr>
          </w:p>
          <w:p w:rsidR="00EB234F" w:rsidRPr="00350EA7" w:rsidRDefault="00EB234F" w:rsidP="00350EA7">
            <w:pPr>
              <w:rPr>
                <w:b/>
                <w:sz w:val="22"/>
                <w:u w:val="single"/>
              </w:rPr>
            </w:pPr>
            <w:r w:rsidRPr="00350EA7">
              <w:rPr>
                <w:b/>
                <w:sz w:val="22"/>
                <w:u w:val="single"/>
              </w:rPr>
              <w:t>Perkins V Planning</w:t>
            </w:r>
          </w:p>
          <w:p w:rsidR="00EB234F" w:rsidRDefault="00EB234F" w:rsidP="00350EA7">
            <w:pPr>
              <w:rPr>
                <w:sz w:val="22"/>
              </w:rPr>
            </w:pPr>
            <w:r w:rsidRPr="00350EA7">
              <w:rPr>
                <w:sz w:val="22"/>
              </w:rPr>
              <w:t>SBCTC</w:t>
            </w:r>
            <w:r w:rsidR="007A2B57">
              <w:rPr>
                <w:sz w:val="22"/>
              </w:rPr>
              <w:t>’s</w:t>
            </w:r>
            <w:r w:rsidRPr="00350EA7">
              <w:rPr>
                <w:sz w:val="22"/>
              </w:rPr>
              <w:t xml:space="preserve"> Workforce Team continues work with the WTECB and OSPI on </w:t>
            </w:r>
            <w:r w:rsidR="003453CC">
              <w:rPr>
                <w:sz w:val="22"/>
              </w:rPr>
              <w:t>drafting the</w:t>
            </w:r>
            <w:r w:rsidR="003453CC" w:rsidRPr="00350EA7">
              <w:rPr>
                <w:sz w:val="22"/>
              </w:rPr>
              <w:t xml:space="preserve"> </w:t>
            </w:r>
            <w:r w:rsidRPr="00350EA7">
              <w:rPr>
                <w:sz w:val="22"/>
              </w:rPr>
              <w:t xml:space="preserve">state’s Perkins V </w:t>
            </w:r>
            <w:r w:rsidR="007A2B57">
              <w:rPr>
                <w:sz w:val="22"/>
              </w:rPr>
              <w:t xml:space="preserve">State </w:t>
            </w:r>
            <w:r w:rsidR="003453CC">
              <w:rPr>
                <w:sz w:val="22"/>
              </w:rPr>
              <w:t xml:space="preserve">Plan. </w:t>
            </w:r>
            <w:r w:rsidRPr="00350EA7">
              <w:rPr>
                <w:sz w:val="22"/>
              </w:rPr>
              <w:t xml:space="preserve">Meetings are ongoing with the State Plan due to the US Department of Education by </w:t>
            </w:r>
            <w:r w:rsidR="007A2B57">
              <w:rPr>
                <w:sz w:val="22"/>
              </w:rPr>
              <w:t>March 31,</w:t>
            </w:r>
            <w:r w:rsidR="003453CC">
              <w:rPr>
                <w:sz w:val="22"/>
              </w:rPr>
              <w:t>2020</w:t>
            </w:r>
            <w:r w:rsidRPr="00350EA7">
              <w:rPr>
                <w:sz w:val="22"/>
              </w:rPr>
              <w:t xml:space="preserve">. </w:t>
            </w:r>
            <w:r w:rsidR="007A2B57">
              <w:rPr>
                <w:sz w:val="22"/>
              </w:rPr>
              <w:t>The plan is scheduled to be presented at the next Workforce Board meeting on January 29</w:t>
            </w:r>
            <w:r w:rsidR="007A2B57" w:rsidRPr="009D2543">
              <w:rPr>
                <w:sz w:val="22"/>
                <w:vertAlign w:val="superscript"/>
              </w:rPr>
              <w:t>th</w:t>
            </w:r>
            <w:r w:rsidR="007A2B57">
              <w:rPr>
                <w:sz w:val="22"/>
              </w:rPr>
              <w:t xml:space="preserve"> after which it will go out for public comment for 30 days. </w:t>
            </w:r>
            <w:r w:rsidR="003453CC">
              <w:rPr>
                <w:sz w:val="22"/>
              </w:rPr>
              <w:t xml:space="preserve">Colleges have </w:t>
            </w:r>
            <w:r w:rsidR="007A2B57">
              <w:rPr>
                <w:sz w:val="22"/>
              </w:rPr>
              <w:t xml:space="preserve">also </w:t>
            </w:r>
            <w:r w:rsidR="003453CC">
              <w:rPr>
                <w:sz w:val="22"/>
              </w:rPr>
              <w:t xml:space="preserve">been invited to </w:t>
            </w:r>
            <w:r w:rsidR="007A2B57">
              <w:rPr>
                <w:sz w:val="22"/>
              </w:rPr>
              <w:t>participate in three</w:t>
            </w:r>
            <w:r w:rsidR="003453CC">
              <w:rPr>
                <w:sz w:val="22"/>
              </w:rPr>
              <w:t xml:space="preserve"> Perkins V </w:t>
            </w:r>
            <w:r w:rsidR="007A2B57">
              <w:rPr>
                <w:sz w:val="22"/>
              </w:rPr>
              <w:t>Stakeholder Engagement events by the Workforce Board. These are outlined below.</w:t>
            </w:r>
          </w:p>
          <w:p w:rsidR="007A2B57" w:rsidRDefault="007A2B57" w:rsidP="00350EA7">
            <w:pPr>
              <w:rPr>
                <w:sz w:val="22"/>
              </w:rPr>
            </w:pPr>
          </w:p>
          <w:p w:rsidR="007A2B57" w:rsidRPr="007A2B57" w:rsidRDefault="007A2B57" w:rsidP="007A2B57">
            <w:pPr>
              <w:numPr>
                <w:ilvl w:val="0"/>
                <w:numId w:val="33"/>
              </w:numPr>
              <w:tabs>
                <w:tab w:val="num" w:pos="720"/>
              </w:tabs>
              <w:rPr>
                <w:sz w:val="22"/>
              </w:rPr>
            </w:pPr>
            <w:r w:rsidRPr="007A2B57">
              <w:rPr>
                <w:sz w:val="22"/>
                <w:u w:val="single"/>
              </w:rPr>
              <w:t>WTB Stakeholder Engagement Schedule</w:t>
            </w:r>
          </w:p>
          <w:p w:rsidR="007A2B57" w:rsidRPr="007A2B57" w:rsidRDefault="007A2B57" w:rsidP="007A2B57">
            <w:pPr>
              <w:numPr>
                <w:ilvl w:val="1"/>
                <w:numId w:val="33"/>
              </w:numPr>
              <w:tabs>
                <w:tab w:val="num" w:pos="1440"/>
              </w:tabs>
              <w:rPr>
                <w:sz w:val="22"/>
              </w:rPr>
            </w:pPr>
            <w:r w:rsidRPr="007A2B57">
              <w:rPr>
                <w:b/>
                <w:bCs/>
                <w:i/>
                <w:iCs/>
                <w:sz w:val="22"/>
              </w:rPr>
              <w:t>Auburn</w:t>
            </w:r>
          </w:p>
          <w:p w:rsidR="007A2B57" w:rsidRPr="007A2B57" w:rsidRDefault="007A2B57" w:rsidP="007A2B57">
            <w:pPr>
              <w:numPr>
                <w:ilvl w:val="2"/>
                <w:numId w:val="33"/>
              </w:numPr>
              <w:tabs>
                <w:tab w:val="num" w:pos="2160"/>
              </w:tabs>
              <w:rPr>
                <w:sz w:val="22"/>
              </w:rPr>
            </w:pPr>
            <w:r w:rsidRPr="007A2B57">
              <w:rPr>
                <w:sz w:val="22"/>
              </w:rPr>
              <w:t>Monday, February 10, 2020 from 10:00 a.m. - 12:00 p.m.</w:t>
            </w:r>
          </w:p>
          <w:p w:rsidR="007A2B57" w:rsidRPr="007A2B57" w:rsidRDefault="007A2B57" w:rsidP="007A2B57">
            <w:pPr>
              <w:numPr>
                <w:ilvl w:val="2"/>
                <w:numId w:val="33"/>
              </w:numPr>
              <w:tabs>
                <w:tab w:val="num" w:pos="2160"/>
              </w:tabs>
              <w:rPr>
                <w:sz w:val="22"/>
              </w:rPr>
            </w:pPr>
            <w:r w:rsidRPr="007A2B57">
              <w:rPr>
                <w:sz w:val="22"/>
              </w:rPr>
              <w:t>Junior Achievement, 1610 Perimeter Road SW, Auburn WA 98001</w:t>
            </w:r>
          </w:p>
          <w:p w:rsidR="007A2B57" w:rsidRPr="007A2B57" w:rsidRDefault="007A2B57" w:rsidP="007A2B57">
            <w:pPr>
              <w:numPr>
                <w:ilvl w:val="1"/>
                <w:numId w:val="33"/>
              </w:numPr>
              <w:tabs>
                <w:tab w:val="num" w:pos="1440"/>
              </w:tabs>
              <w:rPr>
                <w:sz w:val="22"/>
              </w:rPr>
            </w:pPr>
            <w:r w:rsidRPr="007A2B57">
              <w:rPr>
                <w:b/>
                <w:bCs/>
                <w:i/>
                <w:iCs/>
                <w:sz w:val="22"/>
              </w:rPr>
              <w:t>Spokane</w:t>
            </w:r>
          </w:p>
          <w:p w:rsidR="007A2B57" w:rsidRPr="007A2B57" w:rsidRDefault="007A2B57" w:rsidP="007A2B57">
            <w:pPr>
              <w:numPr>
                <w:ilvl w:val="2"/>
                <w:numId w:val="33"/>
              </w:numPr>
              <w:tabs>
                <w:tab w:val="num" w:pos="2160"/>
              </w:tabs>
              <w:rPr>
                <w:sz w:val="22"/>
              </w:rPr>
            </w:pPr>
            <w:r w:rsidRPr="007A2B57">
              <w:rPr>
                <w:sz w:val="22"/>
              </w:rPr>
              <w:t>Wednesday, February 12, 2020 from 12:00 p.m. - 2:00 p.m.</w:t>
            </w:r>
          </w:p>
          <w:p w:rsidR="007A2B57" w:rsidRPr="007A2B57" w:rsidRDefault="007A2B57" w:rsidP="007A2B57">
            <w:pPr>
              <w:numPr>
                <w:ilvl w:val="2"/>
                <w:numId w:val="33"/>
              </w:numPr>
              <w:tabs>
                <w:tab w:val="num" w:pos="2160"/>
              </w:tabs>
              <w:rPr>
                <w:sz w:val="22"/>
              </w:rPr>
            </w:pPr>
            <w:r w:rsidRPr="007A2B57">
              <w:rPr>
                <w:sz w:val="22"/>
              </w:rPr>
              <w:t>WorkSource Spokane Event Center. 140 S Arthur St. Ste. 300, Spokane, WA 99202</w:t>
            </w:r>
          </w:p>
          <w:p w:rsidR="007A2B57" w:rsidRPr="007A2B57" w:rsidRDefault="007A2B57" w:rsidP="007A2B57">
            <w:pPr>
              <w:numPr>
                <w:ilvl w:val="1"/>
                <w:numId w:val="33"/>
              </w:numPr>
              <w:tabs>
                <w:tab w:val="num" w:pos="1440"/>
              </w:tabs>
              <w:rPr>
                <w:sz w:val="22"/>
              </w:rPr>
            </w:pPr>
            <w:r w:rsidRPr="007A2B57">
              <w:rPr>
                <w:b/>
                <w:bCs/>
                <w:i/>
                <w:iCs/>
                <w:sz w:val="22"/>
              </w:rPr>
              <w:t>Vancouver</w:t>
            </w:r>
          </w:p>
          <w:p w:rsidR="007A2B57" w:rsidRPr="007A2B57" w:rsidRDefault="007A2B57" w:rsidP="007A2B57">
            <w:pPr>
              <w:numPr>
                <w:ilvl w:val="2"/>
                <w:numId w:val="33"/>
              </w:numPr>
              <w:tabs>
                <w:tab w:val="num" w:pos="2160"/>
              </w:tabs>
              <w:rPr>
                <w:sz w:val="22"/>
              </w:rPr>
            </w:pPr>
            <w:r w:rsidRPr="007A2B57">
              <w:rPr>
                <w:sz w:val="22"/>
              </w:rPr>
              <w:t>Friday, February 21, 2020 from 9:00 a.m. - 11:00 a.m.</w:t>
            </w:r>
          </w:p>
          <w:p w:rsidR="007A2B57" w:rsidRDefault="007A2B57" w:rsidP="007A2B57">
            <w:pPr>
              <w:numPr>
                <w:ilvl w:val="2"/>
                <w:numId w:val="33"/>
              </w:numPr>
              <w:tabs>
                <w:tab w:val="num" w:pos="2160"/>
              </w:tabs>
              <w:rPr>
                <w:sz w:val="22"/>
              </w:rPr>
            </w:pPr>
            <w:r w:rsidRPr="007A2B57">
              <w:rPr>
                <w:sz w:val="22"/>
              </w:rPr>
              <w:t>Clark College, 1933 Fort Vancouver Way Vancouver, WA 98663</w:t>
            </w:r>
            <w:r w:rsidRPr="007A2B57">
              <w:rPr>
                <w:sz w:val="22"/>
              </w:rPr>
              <w:br/>
              <w:t>Penguin Union Building (PUB) 258B/C</w:t>
            </w:r>
          </w:p>
          <w:p w:rsidR="007A2B57" w:rsidRDefault="00A64826" w:rsidP="00A64826">
            <w:pPr>
              <w:tabs>
                <w:tab w:val="num" w:pos="2160"/>
              </w:tabs>
              <w:rPr>
                <w:sz w:val="22"/>
              </w:rPr>
            </w:pPr>
            <w:r>
              <w:rPr>
                <w:sz w:val="22"/>
              </w:rPr>
              <w:t>Timeline:</w:t>
            </w:r>
          </w:p>
          <w:p w:rsidR="00A64826" w:rsidRPr="00A64826" w:rsidRDefault="00A64826" w:rsidP="00A64826">
            <w:pPr>
              <w:numPr>
                <w:ilvl w:val="0"/>
                <w:numId w:val="34"/>
              </w:numPr>
              <w:tabs>
                <w:tab w:val="num" w:pos="2160"/>
              </w:tabs>
              <w:rPr>
                <w:sz w:val="22"/>
              </w:rPr>
            </w:pPr>
            <w:r w:rsidRPr="00A64826">
              <w:rPr>
                <w:sz w:val="22"/>
              </w:rPr>
              <w:t>Now      Agencies drafting State Plan</w:t>
            </w:r>
          </w:p>
          <w:p w:rsidR="00A64826" w:rsidRPr="00A64826" w:rsidRDefault="00A64826" w:rsidP="00A64826">
            <w:pPr>
              <w:numPr>
                <w:ilvl w:val="0"/>
                <w:numId w:val="34"/>
              </w:numPr>
              <w:tabs>
                <w:tab w:val="num" w:pos="2160"/>
              </w:tabs>
              <w:rPr>
                <w:sz w:val="22"/>
              </w:rPr>
            </w:pPr>
            <w:r w:rsidRPr="00A64826">
              <w:rPr>
                <w:sz w:val="22"/>
              </w:rPr>
              <w:t>1-29     Workforce Brd. mtg. (State Plan discussed)</w:t>
            </w:r>
          </w:p>
          <w:p w:rsidR="00A64826" w:rsidRPr="00A64826" w:rsidRDefault="00A64826" w:rsidP="00A64826">
            <w:pPr>
              <w:numPr>
                <w:ilvl w:val="0"/>
                <w:numId w:val="34"/>
              </w:numPr>
              <w:tabs>
                <w:tab w:val="num" w:pos="2160"/>
              </w:tabs>
              <w:rPr>
                <w:sz w:val="22"/>
              </w:rPr>
            </w:pPr>
            <w:r w:rsidRPr="00A64826">
              <w:rPr>
                <w:sz w:val="22"/>
              </w:rPr>
              <w:t>1-</w:t>
            </w:r>
            <w:r>
              <w:rPr>
                <w:sz w:val="22"/>
              </w:rPr>
              <w:t>29</w:t>
            </w:r>
            <w:r w:rsidRPr="00A64826">
              <w:rPr>
                <w:sz w:val="22"/>
              </w:rPr>
              <w:t xml:space="preserve">    State Plan released for public comment</w:t>
            </w:r>
          </w:p>
          <w:p w:rsidR="00A64826" w:rsidRPr="00A64826" w:rsidRDefault="00A64826" w:rsidP="00A64826">
            <w:pPr>
              <w:numPr>
                <w:ilvl w:val="0"/>
                <w:numId w:val="34"/>
              </w:numPr>
              <w:tabs>
                <w:tab w:val="num" w:pos="2160"/>
              </w:tabs>
              <w:rPr>
                <w:sz w:val="22"/>
              </w:rPr>
            </w:pPr>
            <w:r w:rsidRPr="00A64826">
              <w:rPr>
                <w:sz w:val="22"/>
              </w:rPr>
              <w:t>1-31     Preliminary CLNAs due to SBCTC</w:t>
            </w:r>
          </w:p>
          <w:p w:rsidR="00A64826" w:rsidRPr="00A64826" w:rsidRDefault="00A64826" w:rsidP="00A64826">
            <w:pPr>
              <w:numPr>
                <w:ilvl w:val="0"/>
                <w:numId w:val="34"/>
              </w:numPr>
              <w:tabs>
                <w:tab w:val="num" w:pos="2160"/>
              </w:tabs>
              <w:rPr>
                <w:sz w:val="22"/>
              </w:rPr>
            </w:pPr>
            <w:r w:rsidRPr="00A64826">
              <w:rPr>
                <w:sz w:val="22"/>
              </w:rPr>
              <w:t>2-29     Public comment on State Plan closes</w:t>
            </w:r>
          </w:p>
          <w:p w:rsidR="00A64826" w:rsidRPr="00A64826" w:rsidRDefault="00A64826" w:rsidP="00A64826">
            <w:pPr>
              <w:numPr>
                <w:ilvl w:val="0"/>
                <w:numId w:val="34"/>
              </w:numPr>
              <w:tabs>
                <w:tab w:val="num" w:pos="2160"/>
              </w:tabs>
              <w:rPr>
                <w:sz w:val="22"/>
              </w:rPr>
            </w:pPr>
            <w:r w:rsidRPr="00A64826">
              <w:rPr>
                <w:sz w:val="22"/>
              </w:rPr>
              <w:t>3-</w:t>
            </w:r>
            <w:r>
              <w:rPr>
                <w:sz w:val="22"/>
              </w:rPr>
              <w:t>12</w:t>
            </w:r>
            <w:r w:rsidRPr="00A64826">
              <w:rPr>
                <w:sz w:val="22"/>
              </w:rPr>
              <w:t xml:space="preserve">       Perkins Local Application (Basic Grant) released</w:t>
            </w:r>
          </w:p>
          <w:p w:rsidR="00A64826" w:rsidRPr="00A64826" w:rsidRDefault="00A64826" w:rsidP="00A64826">
            <w:pPr>
              <w:numPr>
                <w:ilvl w:val="0"/>
                <w:numId w:val="34"/>
              </w:numPr>
              <w:tabs>
                <w:tab w:val="num" w:pos="2160"/>
              </w:tabs>
              <w:rPr>
                <w:sz w:val="22"/>
              </w:rPr>
            </w:pPr>
            <w:r w:rsidRPr="00A64826">
              <w:rPr>
                <w:sz w:val="22"/>
              </w:rPr>
              <w:t>3-11     Workforce Brd. mtg. (State Plan approved)</w:t>
            </w:r>
          </w:p>
          <w:p w:rsidR="00A64826" w:rsidRPr="00A64826" w:rsidRDefault="00A64826" w:rsidP="00A64826">
            <w:pPr>
              <w:numPr>
                <w:ilvl w:val="0"/>
                <w:numId w:val="34"/>
              </w:numPr>
              <w:tabs>
                <w:tab w:val="num" w:pos="2160"/>
              </w:tabs>
              <w:rPr>
                <w:sz w:val="22"/>
              </w:rPr>
            </w:pPr>
            <w:r w:rsidRPr="00A64826">
              <w:rPr>
                <w:sz w:val="22"/>
              </w:rPr>
              <w:t>3-31     State Plan due to OCTAE</w:t>
            </w:r>
          </w:p>
          <w:p w:rsidR="00A64826" w:rsidRPr="00A64826" w:rsidRDefault="00A64826" w:rsidP="00A64826">
            <w:pPr>
              <w:numPr>
                <w:ilvl w:val="0"/>
                <w:numId w:val="34"/>
              </w:numPr>
              <w:tabs>
                <w:tab w:val="num" w:pos="2160"/>
              </w:tabs>
              <w:rPr>
                <w:sz w:val="22"/>
              </w:rPr>
            </w:pPr>
            <w:r w:rsidRPr="00A64826">
              <w:rPr>
                <w:sz w:val="22"/>
              </w:rPr>
              <w:t>4-16     Perkins Local Applications due</w:t>
            </w:r>
          </w:p>
          <w:p w:rsidR="00EB234F" w:rsidRPr="00350EA7" w:rsidRDefault="00EB234F" w:rsidP="00350EA7">
            <w:pPr>
              <w:rPr>
                <w:sz w:val="22"/>
              </w:rPr>
            </w:pPr>
          </w:p>
          <w:p w:rsidR="00EB234F" w:rsidRPr="00350EA7" w:rsidRDefault="00EB234F" w:rsidP="00350EA7">
            <w:pPr>
              <w:rPr>
                <w:b/>
                <w:sz w:val="22"/>
                <w:u w:val="single"/>
              </w:rPr>
            </w:pPr>
            <w:r w:rsidRPr="00350EA7">
              <w:rPr>
                <w:b/>
                <w:sz w:val="22"/>
                <w:u w:val="single"/>
              </w:rPr>
              <w:t>Apprenticeship Funding Taskforce</w:t>
            </w:r>
          </w:p>
          <w:p w:rsidR="00EB234F" w:rsidRPr="00F5274A" w:rsidRDefault="00EB234F" w:rsidP="002311A3">
            <w:pPr>
              <w:rPr>
                <w:b/>
                <w:sz w:val="22"/>
              </w:rPr>
            </w:pPr>
            <w:r w:rsidRPr="00350EA7">
              <w:rPr>
                <w:sz w:val="22"/>
              </w:rPr>
              <w:t>SBCTC</w:t>
            </w:r>
            <w:r w:rsidR="00A64826">
              <w:rPr>
                <w:sz w:val="22"/>
              </w:rPr>
              <w:t xml:space="preserve">’s </w:t>
            </w:r>
            <w:r w:rsidR="00D5206B">
              <w:rPr>
                <w:sz w:val="22"/>
              </w:rPr>
              <w:t>s convened</w:t>
            </w:r>
            <w:r w:rsidRPr="00350EA7">
              <w:rPr>
                <w:sz w:val="22"/>
              </w:rPr>
              <w:t xml:space="preserve"> our college and apprenticeship partners</w:t>
            </w:r>
            <w:r w:rsidR="00A64826">
              <w:rPr>
                <w:sz w:val="22"/>
              </w:rPr>
              <w:t xml:space="preserve"> workgroup continues</w:t>
            </w:r>
            <w:r w:rsidRPr="00350EA7">
              <w:rPr>
                <w:sz w:val="22"/>
              </w:rPr>
              <w:t xml:space="preserve"> work on a review and update to existing apprenticeship-funding model </w:t>
            </w:r>
            <w:r w:rsidR="00A64826" w:rsidRPr="00350EA7">
              <w:rPr>
                <w:sz w:val="22"/>
              </w:rPr>
              <w:t>guidance. Our</w:t>
            </w:r>
            <w:r w:rsidRPr="00350EA7">
              <w:rPr>
                <w:sz w:val="22"/>
              </w:rPr>
              <w:t xml:space="preserve"> goal is to create a process that is equitable, creates a</w:t>
            </w:r>
            <w:r w:rsidR="00D5206B">
              <w:rPr>
                <w:sz w:val="22"/>
              </w:rPr>
              <w:t xml:space="preserve"> workable</w:t>
            </w:r>
            <w:r w:rsidRPr="00350EA7">
              <w:rPr>
                <w:sz w:val="22"/>
              </w:rPr>
              <w:t xml:space="preserve"> tool for our colleges and partners, and </w:t>
            </w:r>
            <w:r w:rsidR="00D5206B">
              <w:rPr>
                <w:sz w:val="22"/>
              </w:rPr>
              <w:t>supports</w:t>
            </w:r>
            <w:r w:rsidRPr="00350EA7">
              <w:rPr>
                <w:sz w:val="22"/>
              </w:rPr>
              <w:t xml:space="preserve"> growth of registered apprenticeships across the state.</w:t>
            </w:r>
            <w:r w:rsidR="00A64826">
              <w:rPr>
                <w:sz w:val="22"/>
              </w:rPr>
              <w:t xml:space="preserve"> It is our intent to have a short-term solution in place prior to the end of the fiscal year for the Guidance Letter colleges receive from SBCTC. We also hope to have a more comprehensive long-term solution to present to our system and partners for consideration by the end of the fiscal year as well. </w:t>
            </w:r>
          </w:p>
        </w:tc>
      </w:tr>
      <w:tr w:rsidR="009B2178" w:rsidRPr="00A23C6A" w:rsidTr="000C041D">
        <w:tc>
          <w:tcPr>
            <w:tcW w:w="1707" w:type="dxa"/>
            <w:shd w:val="clear" w:color="auto" w:fill="FFFFFF" w:themeFill="background1"/>
          </w:tcPr>
          <w:p w:rsidR="009B2178" w:rsidRDefault="009B2178" w:rsidP="000C041D">
            <w:pPr>
              <w:rPr>
                <w:b/>
                <w:sz w:val="22"/>
              </w:rPr>
            </w:pPr>
            <w:r w:rsidRPr="001C2F35">
              <w:rPr>
                <w:b/>
                <w:sz w:val="22"/>
              </w:rPr>
              <w:t>Basic Education for Adults (BEdA)</w:t>
            </w:r>
          </w:p>
          <w:p w:rsidR="005D2E9C" w:rsidRDefault="005D2E9C" w:rsidP="000C041D">
            <w:pPr>
              <w:rPr>
                <w:b/>
                <w:sz w:val="22"/>
              </w:rPr>
            </w:pPr>
          </w:p>
          <w:p w:rsidR="005D2E9C" w:rsidRPr="00A23C6A" w:rsidRDefault="005D2E9C" w:rsidP="000C041D">
            <w:pPr>
              <w:rPr>
                <w:b/>
                <w:sz w:val="22"/>
              </w:rPr>
            </w:pPr>
          </w:p>
        </w:tc>
        <w:tc>
          <w:tcPr>
            <w:tcW w:w="9543" w:type="dxa"/>
          </w:tcPr>
          <w:p w:rsidR="009B2178" w:rsidRPr="00A23C6A" w:rsidRDefault="009B2178" w:rsidP="000C041D">
            <w:pPr>
              <w:rPr>
                <w:b/>
                <w:sz w:val="22"/>
                <w:u w:val="single"/>
              </w:rPr>
            </w:pPr>
            <w:r w:rsidRPr="00A23C6A">
              <w:rPr>
                <w:b/>
                <w:sz w:val="22"/>
                <w:u w:val="single"/>
              </w:rPr>
              <w:t>Ability to Benefit</w:t>
            </w:r>
          </w:p>
          <w:p w:rsidR="009B2178" w:rsidRPr="00A23C6A" w:rsidRDefault="009B2178" w:rsidP="000C041D">
            <w:pPr>
              <w:rPr>
                <w:sz w:val="22"/>
              </w:rPr>
            </w:pPr>
            <w:r>
              <w:rPr>
                <w:sz w:val="22"/>
              </w:rPr>
              <w:t>T</w:t>
            </w:r>
            <w:r w:rsidRPr="00A23C6A">
              <w:rPr>
                <w:sz w:val="22"/>
              </w:rPr>
              <w:t>he Ability to Benefit option for federal financial aid (Pell) provides eligible students without a high school credential access to the funding they need to participate in Title IV eligible career pathway programming. </w:t>
            </w:r>
            <w:r>
              <w:rPr>
                <w:sz w:val="22"/>
              </w:rPr>
              <w:t>S</w:t>
            </w:r>
            <w:r w:rsidRPr="00A23C6A">
              <w:rPr>
                <w:sz w:val="22"/>
              </w:rPr>
              <w:t xml:space="preserve">tudents may be determined eligible for Ability to Benefit if, in addition to being enrolled in an eligible Title IV career pathway program, they: </w:t>
            </w:r>
          </w:p>
          <w:p w:rsidR="009B2178" w:rsidRPr="00A23C6A" w:rsidRDefault="009B2178" w:rsidP="009B2178">
            <w:pPr>
              <w:numPr>
                <w:ilvl w:val="0"/>
                <w:numId w:val="28"/>
              </w:numPr>
              <w:spacing w:after="160" w:line="252" w:lineRule="auto"/>
              <w:contextualSpacing/>
              <w:rPr>
                <w:rFonts w:eastAsia="Times New Roman"/>
                <w:sz w:val="22"/>
              </w:rPr>
            </w:pPr>
            <w:r w:rsidRPr="00A23C6A">
              <w:rPr>
                <w:rFonts w:eastAsia="Times New Roman"/>
                <w:sz w:val="22"/>
              </w:rPr>
              <w:t>“Take an independently administered examination and…achieve a score, specified by the Secretary, demonstrating that such student can benefit from the education or training being offered.”</w:t>
            </w:r>
          </w:p>
          <w:p w:rsidR="009B2178" w:rsidRPr="00A23C6A" w:rsidRDefault="009B2178" w:rsidP="009B2178">
            <w:pPr>
              <w:numPr>
                <w:ilvl w:val="0"/>
                <w:numId w:val="28"/>
              </w:numPr>
              <w:spacing w:after="160" w:line="252" w:lineRule="auto"/>
              <w:contextualSpacing/>
              <w:rPr>
                <w:rFonts w:eastAsia="Times New Roman"/>
                <w:sz w:val="22"/>
              </w:rPr>
            </w:pPr>
            <w:r w:rsidRPr="00A23C6A">
              <w:rPr>
                <w:rFonts w:eastAsia="Times New Roman"/>
                <w:sz w:val="22"/>
              </w:rPr>
              <w:t>Achieve “satisfactory completion of 6 credit hours or the equivalent coursework that are applicable toward a degree or certificate offered by the institution of higher education.” (HEA Sec. 484(d)</w:t>
            </w:r>
          </w:p>
          <w:p w:rsidR="009B2178" w:rsidRPr="00A23C6A" w:rsidRDefault="009B2178" w:rsidP="000C041D">
            <w:pPr>
              <w:rPr>
                <w:sz w:val="22"/>
              </w:rPr>
            </w:pPr>
            <w:r w:rsidRPr="00A23C6A">
              <w:rPr>
                <w:sz w:val="22"/>
              </w:rPr>
              <w:t xml:space="preserve">Option 3 of the law permits students to demonstrate ability to benefit from federal student aid “in accordance with such process as the State shall prescribe.” In order to serve more students in eligible career pathway programs and thus boost individual and national economic growth, Washington state has proposed a state-defined process for determining Ability to Benefit eligibility for students. </w:t>
            </w:r>
          </w:p>
          <w:p w:rsidR="009B2178" w:rsidRPr="00A23C6A" w:rsidRDefault="009B2178" w:rsidP="000C041D">
            <w:pPr>
              <w:rPr>
                <w:sz w:val="22"/>
              </w:rPr>
            </w:pPr>
          </w:p>
          <w:p w:rsidR="009B2178" w:rsidRPr="00A23C6A" w:rsidRDefault="009B2178" w:rsidP="000C041D">
            <w:pPr>
              <w:rPr>
                <w:sz w:val="22"/>
              </w:rPr>
            </w:pPr>
            <w:r>
              <w:rPr>
                <w:sz w:val="22"/>
              </w:rPr>
              <w:t>SBCTC</w:t>
            </w:r>
            <w:r w:rsidRPr="00A23C6A">
              <w:rPr>
                <w:sz w:val="22"/>
              </w:rPr>
              <w:t xml:space="preserve"> submitted </w:t>
            </w:r>
            <w:r>
              <w:rPr>
                <w:sz w:val="22"/>
              </w:rPr>
              <w:t xml:space="preserve">a </w:t>
            </w:r>
            <w:r w:rsidRPr="00A23C6A">
              <w:rPr>
                <w:sz w:val="22"/>
              </w:rPr>
              <w:t>proposed state-defined process to Secretary DeVos with a letter of support from our Governor on June 5</w:t>
            </w:r>
            <w:r w:rsidRPr="00A23C6A">
              <w:rPr>
                <w:sz w:val="22"/>
                <w:vertAlign w:val="superscript"/>
              </w:rPr>
              <w:t>th</w:t>
            </w:r>
            <w:r w:rsidRPr="00A23C6A">
              <w:rPr>
                <w:sz w:val="22"/>
              </w:rPr>
              <w:t xml:space="preserve">, 2019. Our process would give more students access to ATB through our highly successful dual credit I-BEST and High School Twenty-one+ diploma program, and would relieve some of the eligibility requirements that colleges face with the current requirement that students either earn six college credits first or pass an approve test. The Department of Education (DOE) </w:t>
            </w:r>
            <w:r w:rsidR="001C2F35">
              <w:rPr>
                <w:sz w:val="22"/>
              </w:rPr>
              <w:t xml:space="preserve">denied the proposal in early December. SBCTC plans to submit a revised proposal. </w:t>
            </w:r>
          </w:p>
          <w:p w:rsidR="00D169F0" w:rsidRDefault="00D169F0" w:rsidP="00D169F0">
            <w:pPr>
              <w:rPr>
                <w:b/>
                <w:sz w:val="22"/>
                <w:u w:val="single"/>
              </w:rPr>
            </w:pPr>
          </w:p>
          <w:p w:rsidR="00D169F0" w:rsidRDefault="00D169F0" w:rsidP="00D169F0">
            <w:pPr>
              <w:rPr>
                <w:b/>
                <w:sz w:val="22"/>
                <w:u w:val="single"/>
              </w:rPr>
            </w:pPr>
            <w:r w:rsidRPr="00A23C6A">
              <w:rPr>
                <w:b/>
                <w:sz w:val="22"/>
                <w:u w:val="single"/>
              </w:rPr>
              <w:t>WIOA/TAP Plan 2020</w:t>
            </w:r>
          </w:p>
          <w:p w:rsidR="00D169F0" w:rsidRDefault="00D169F0" w:rsidP="00D169F0">
            <w:pPr>
              <w:rPr>
                <w:sz w:val="22"/>
              </w:rPr>
            </w:pPr>
            <w:r w:rsidRPr="00494D81">
              <w:rPr>
                <w:sz w:val="22"/>
              </w:rPr>
              <w:t>BEdA providers and the SBCTC office have completed writing the 2020 WIOA Title II State Plan as part of the 2020 Washington State Talent and Prosperity for All Plan (TAP). The new state plan is due to the US Department of Education in March 2020. BEdA collaborated with CBS and AEAC on drafting the new BEdA vision, mission, values and goals and the new plan. The plan will be posted for a 30-day public comment period on January 29, 2020.</w:t>
            </w:r>
          </w:p>
          <w:p w:rsidR="00D169F0" w:rsidRPr="00A23C6A" w:rsidRDefault="00D169F0" w:rsidP="00D169F0">
            <w:pPr>
              <w:rPr>
                <w:sz w:val="22"/>
              </w:rPr>
            </w:pPr>
          </w:p>
          <w:p w:rsidR="00D169F0" w:rsidRDefault="00D169F0" w:rsidP="00D169F0">
            <w:pPr>
              <w:rPr>
                <w:b/>
                <w:sz w:val="22"/>
                <w:u w:val="single"/>
              </w:rPr>
            </w:pPr>
            <w:r w:rsidRPr="00A23C6A">
              <w:rPr>
                <w:b/>
                <w:sz w:val="22"/>
                <w:u w:val="single"/>
              </w:rPr>
              <w:t xml:space="preserve">BEdA Recommendation to the Governor’s Future </w:t>
            </w:r>
            <w:r>
              <w:rPr>
                <w:b/>
                <w:sz w:val="22"/>
                <w:u w:val="single"/>
              </w:rPr>
              <w:t xml:space="preserve">of </w:t>
            </w:r>
            <w:r w:rsidRPr="00A23C6A">
              <w:rPr>
                <w:b/>
                <w:sz w:val="22"/>
                <w:u w:val="single"/>
              </w:rPr>
              <w:t>Workforce</w:t>
            </w:r>
            <w:r>
              <w:rPr>
                <w:b/>
                <w:sz w:val="22"/>
                <w:u w:val="single"/>
              </w:rPr>
              <w:t xml:space="preserve"> Taskforce</w:t>
            </w:r>
            <w:r w:rsidRPr="00A23C6A">
              <w:rPr>
                <w:b/>
                <w:sz w:val="22"/>
                <w:u w:val="single"/>
              </w:rPr>
              <w:t xml:space="preserve"> </w:t>
            </w:r>
          </w:p>
          <w:p w:rsidR="00D169F0" w:rsidRDefault="00D169F0" w:rsidP="00D169F0">
            <w:pPr>
              <w:rPr>
                <w:sz w:val="22"/>
              </w:rPr>
            </w:pPr>
            <w:r>
              <w:rPr>
                <w:sz w:val="22"/>
              </w:rPr>
              <w:t>As a result of BEdA’s work with the Governor’s Future of Workforce Taskforce, the taskforce is recommending the following:</w:t>
            </w:r>
          </w:p>
          <w:p w:rsidR="00D169F0" w:rsidRPr="00A23C6A" w:rsidRDefault="00D169F0" w:rsidP="00D169F0">
            <w:pPr>
              <w:pStyle w:val="NoSpacing"/>
              <w:numPr>
                <w:ilvl w:val="0"/>
                <w:numId w:val="29"/>
              </w:numPr>
              <w:rPr>
                <w:rFonts w:ascii="Times New Roman" w:hAnsi="Times New Roman" w:cs="Times New Roman"/>
              </w:rPr>
            </w:pPr>
            <w:r w:rsidRPr="00A23C6A">
              <w:rPr>
                <w:rFonts w:ascii="Times New Roman" w:hAnsi="Times New Roman" w:cs="Times New Roman"/>
                <w:b/>
                <w:bCs/>
              </w:rPr>
              <w:t>Remove the six-credit eligibility requirement for students who do not have a high school diploma or GED from the Washington College Grant program.</w:t>
            </w:r>
            <w:r w:rsidRPr="00A23C6A">
              <w:rPr>
                <w:rFonts w:ascii="Times New Roman" w:hAnsi="Times New Roman" w:cs="Times New Roman"/>
              </w:rPr>
              <w:t xml:space="preserve"> Currently students enrolling in postsecondary education that do not have a high school diploma or GED are not eligible for state and federal financial programs.</w:t>
            </w:r>
            <w:r w:rsidRPr="00A23C6A">
              <w:rPr>
                <w:rFonts w:ascii="Times New Roman" w:hAnsi="Times New Roman" w:cs="Times New Roman"/>
                <w:b/>
                <w:bCs/>
              </w:rPr>
              <w:t xml:space="preserve"> </w:t>
            </w:r>
            <w:r w:rsidRPr="00A23C6A">
              <w:rPr>
                <w:rFonts w:ascii="Times New Roman" w:hAnsi="Times New Roman" w:cs="Times New Roman"/>
              </w:rPr>
              <w:t> </w:t>
            </w:r>
          </w:p>
          <w:p w:rsidR="00D169F0" w:rsidRPr="00A23C6A" w:rsidRDefault="00D169F0" w:rsidP="00D169F0">
            <w:pPr>
              <w:pStyle w:val="NoSpacing"/>
              <w:rPr>
                <w:rFonts w:ascii="Times New Roman" w:hAnsi="Times New Roman" w:cs="Times New Roman"/>
              </w:rPr>
            </w:pPr>
          </w:p>
          <w:p w:rsidR="00D169F0" w:rsidRPr="00A23C6A" w:rsidRDefault="00D169F0" w:rsidP="00D169F0">
            <w:pPr>
              <w:pStyle w:val="NoSpacing"/>
              <w:numPr>
                <w:ilvl w:val="0"/>
                <w:numId w:val="30"/>
              </w:numPr>
              <w:rPr>
                <w:rFonts w:ascii="Times New Roman" w:hAnsi="Times New Roman" w:cs="Times New Roman"/>
                <w:b/>
                <w:bCs/>
              </w:rPr>
            </w:pPr>
            <w:r w:rsidRPr="00A23C6A">
              <w:rPr>
                <w:rFonts w:ascii="Times New Roman" w:hAnsi="Times New Roman" w:cs="Times New Roman"/>
                <w:b/>
                <w:bCs/>
              </w:rPr>
              <w:t xml:space="preserve">Desired Outcome: </w:t>
            </w:r>
            <w:r w:rsidRPr="00A23C6A">
              <w:rPr>
                <w:rFonts w:ascii="Times New Roman" w:hAnsi="Times New Roman" w:cs="Times New Roman"/>
              </w:rPr>
              <w:t xml:space="preserve">Removing this barrier from the state’s financial aid program – the Washington College Grant – will enable students most in need of further education to engage in these programs. This will allow eligible students to receive financial aid from the outset of their postsecondary education instead of having to self-pay for their education until six credits are completed. In order to become eligible, students would also need to be enrolled in High School 21+ or I-BEST programs that allow students to complete postsecondary course work and credit towards a high school diploma concurrently. </w:t>
            </w:r>
          </w:p>
          <w:p w:rsidR="00D169F0" w:rsidRDefault="00D169F0" w:rsidP="00D169F0">
            <w:pPr>
              <w:rPr>
                <w:color w:val="1F497D"/>
              </w:rPr>
            </w:pPr>
          </w:p>
          <w:p w:rsidR="00D169F0" w:rsidRDefault="00D169F0" w:rsidP="00D169F0">
            <w:pPr>
              <w:rPr>
                <w:b/>
                <w:sz w:val="22"/>
                <w:u w:val="single"/>
              </w:rPr>
            </w:pPr>
            <w:r w:rsidRPr="004E767D">
              <w:rPr>
                <w:b/>
                <w:sz w:val="22"/>
                <w:u w:val="single"/>
              </w:rPr>
              <w:t>I-BEST/Basic Skills in Guided Pathways</w:t>
            </w:r>
          </w:p>
          <w:p w:rsidR="00D169F0" w:rsidRDefault="00D169F0" w:rsidP="00D169F0">
            <w:pPr>
              <w:rPr>
                <w:sz w:val="22"/>
              </w:rPr>
            </w:pPr>
            <w:r>
              <w:rPr>
                <w:sz w:val="22"/>
              </w:rPr>
              <w:t xml:space="preserve">BEdA supports colleges in their plans to place basic skills at the foundation of all pathways. Both Professional-Technical and Academic/Transfer I-BEST should be available in all meta-majors/areas of study. Students can co-enroll in High School + and I-BEST so that they can complete their high school diploma in the context of their chosen pathway. Funding is available through Ability to Benefit, the Washington College Grant, Opportunity Grant, and other workforce funding. </w:t>
            </w:r>
          </w:p>
          <w:p w:rsidR="00D169F0" w:rsidRDefault="00D169F0" w:rsidP="00D169F0">
            <w:pPr>
              <w:rPr>
                <w:sz w:val="22"/>
              </w:rPr>
            </w:pPr>
          </w:p>
          <w:p w:rsidR="00D169F0" w:rsidRDefault="00D169F0" w:rsidP="00D169F0">
            <w:pPr>
              <w:rPr>
                <w:sz w:val="22"/>
              </w:rPr>
            </w:pPr>
            <w:r w:rsidRPr="00494D81">
              <w:rPr>
                <w:sz w:val="22"/>
              </w:rPr>
              <w:t>I</w:t>
            </w:r>
            <w:r w:rsidRPr="00494D81">
              <w:rPr>
                <w:b/>
                <w:sz w:val="22"/>
              </w:rPr>
              <w:t xml:space="preserve">ntegration of Developmental Education &amp; Basic Skills </w:t>
            </w:r>
            <w:r w:rsidRPr="00494D81">
              <w:rPr>
                <w:sz w:val="22"/>
              </w:rPr>
              <w:t>(Pre-College) Programming in Guided Pathways</w:t>
            </w:r>
            <w:r>
              <w:rPr>
                <w:sz w:val="22"/>
              </w:rPr>
              <w:t xml:space="preserve"> </w:t>
            </w:r>
            <w:r w:rsidRPr="00494D81">
              <w:rPr>
                <w:sz w:val="22"/>
              </w:rPr>
              <w:t>Colleges are examining all pre-college programming, which has traditionally been fragmented and existing in many different departments. Last year SBCTC convened a statewide group of educators to compare and consider different approaches to integration under Guided Pathways, with the goal of streamlining, shortening, and contextualizing so-called remedial education for students, with the goal of allowing students to move further and faster through their pathways and into living wage jobs and further education and training. Regional happenings are now being scheduled for further work on the integration of pre-college programming.</w:t>
            </w:r>
          </w:p>
          <w:p w:rsidR="00D169F0" w:rsidRDefault="00D169F0" w:rsidP="00D169F0">
            <w:pPr>
              <w:rPr>
                <w:sz w:val="22"/>
              </w:rPr>
            </w:pPr>
          </w:p>
          <w:p w:rsidR="00D169F0" w:rsidRPr="00FC38B5" w:rsidRDefault="00D169F0" w:rsidP="00D169F0">
            <w:pPr>
              <w:rPr>
                <w:b/>
                <w:sz w:val="22"/>
                <w:u w:val="single"/>
              </w:rPr>
            </w:pPr>
            <w:r w:rsidRPr="00FC38B5">
              <w:rPr>
                <w:b/>
                <w:sz w:val="22"/>
                <w:u w:val="single"/>
              </w:rPr>
              <w:t>I-BEST @Work</w:t>
            </w:r>
          </w:p>
          <w:p w:rsidR="00D169F0" w:rsidRDefault="00D169F0" w:rsidP="00D169F0">
            <w:pPr>
              <w:rPr>
                <w:sz w:val="22"/>
              </w:rPr>
            </w:pPr>
            <w:r>
              <w:rPr>
                <w:sz w:val="22"/>
              </w:rPr>
              <w:t>I-BEST @ Work provides integrated education and training to incumbent workers with the goal of student-employees moving up in the company, as well as engaging with the college for further studies. Currently SBCTC has grant funds to support new I-BEST @ Work programs in the retail, hospitality, and tourism sectors.</w:t>
            </w:r>
          </w:p>
          <w:p w:rsidR="00D169F0" w:rsidRPr="00D169F0" w:rsidRDefault="00D169F0" w:rsidP="00D169F0">
            <w:pPr>
              <w:rPr>
                <w:b/>
                <w:sz w:val="22"/>
              </w:rPr>
            </w:pPr>
          </w:p>
          <w:p w:rsidR="00D169F0" w:rsidRPr="00D169F0" w:rsidRDefault="00D169F0" w:rsidP="00D169F0">
            <w:pPr>
              <w:rPr>
                <w:b/>
                <w:sz w:val="22"/>
                <w:u w:val="single"/>
              </w:rPr>
            </w:pPr>
            <w:r w:rsidRPr="00D169F0">
              <w:rPr>
                <w:b/>
                <w:sz w:val="22"/>
              </w:rPr>
              <w:t>Navigation:</w:t>
            </w:r>
            <w:r>
              <w:rPr>
                <w:sz w:val="22"/>
              </w:rPr>
              <w:t xml:space="preserve"> </w:t>
            </w:r>
            <w:r w:rsidRPr="00494D81">
              <w:rPr>
                <w:sz w:val="22"/>
              </w:rPr>
              <w:t>Navigation provides critical wraparound supports to students, improving transition from BEdA programming into college programming, as well as retention and completion through continued support and tracking. The statewide Navigator Cadre works with SBCTC BEdA to develop professional development and training for pathway navigators. Critical duties include educational and funding planning, and helping to place, track, and support students on Ability to Benefit.</w:t>
            </w:r>
          </w:p>
          <w:p w:rsidR="00D169F0" w:rsidRDefault="00D169F0" w:rsidP="00D169F0">
            <w:pPr>
              <w:rPr>
                <w:sz w:val="22"/>
              </w:rPr>
            </w:pPr>
          </w:p>
          <w:p w:rsidR="00D169F0" w:rsidRDefault="00D169F0" w:rsidP="00D169F0">
            <w:pPr>
              <w:rPr>
                <w:b/>
                <w:sz w:val="22"/>
                <w:u w:val="single"/>
              </w:rPr>
            </w:pPr>
            <w:r w:rsidRPr="007448ED">
              <w:rPr>
                <w:b/>
                <w:sz w:val="22"/>
                <w:u w:val="single"/>
              </w:rPr>
              <w:t>High School 21+ Name Change to High School+</w:t>
            </w:r>
          </w:p>
          <w:p w:rsidR="00D169F0" w:rsidRPr="007448ED" w:rsidRDefault="00D169F0" w:rsidP="00D169F0">
            <w:pPr>
              <w:rPr>
                <w:sz w:val="22"/>
              </w:rPr>
            </w:pPr>
            <w:r>
              <w:rPr>
                <w:sz w:val="22"/>
              </w:rPr>
              <w:t>Due to the expansion of the program to students 18 years and older and the focus to incorporate more integration with I-BESY, college level course taking, and greater transition to post-secondary, High School 21+ is now called High School+</w:t>
            </w:r>
          </w:p>
          <w:p w:rsidR="00D169F0" w:rsidRDefault="00D169F0" w:rsidP="00D169F0">
            <w:pPr>
              <w:ind w:firstLine="720"/>
              <w:rPr>
                <w:sz w:val="22"/>
              </w:rPr>
            </w:pPr>
          </w:p>
          <w:p w:rsidR="00D169F0" w:rsidRDefault="00D169F0" w:rsidP="00D169F0">
            <w:pPr>
              <w:rPr>
                <w:b/>
                <w:sz w:val="22"/>
                <w:u w:val="single"/>
              </w:rPr>
            </w:pPr>
            <w:r w:rsidRPr="00240182">
              <w:rPr>
                <w:b/>
                <w:sz w:val="22"/>
                <w:u w:val="single"/>
              </w:rPr>
              <w:t>High School+ Course Review and Revision</w:t>
            </w:r>
          </w:p>
          <w:p w:rsidR="00D169F0" w:rsidRDefault="00D169F0" w:rsidP="00D169F0">
            <w:r>
              <w:t xml:space="preserve">Beginning in July 2019, a small group of faculty have gathered from around the state to review and revise HS+ courses that were published in 2017 to meet all graduation requirements.  The faculty used a version of the Culturally Responsive Curriculum Scorecard, developed by NYU Steinhardt, to review seven of the ten courses through an equity lens and make suggestions for revisions that will be more inclusive and representative of the students served.  The </w:t>
            </w:r>
            <w:r w:rsidRPr="00494D81">
              <w:t>review process came to a close on August 29t</w:t>
            </w:r>
            <w:r>
              <w:t xml:space="preserve">h </w:t>
            </w:r>
            <w:r w:rsidRPr="00494D81">
              <w:t>with revisions beginning in December and the project slated to wrap up in the spring.</w:t>
            </w:r>
          </w:p>
          <w:p w:rsidR="00D169F0" w:rsidRPr="00494D81" w:rsidRDefault="00D169F0" w:rsidP="00D169F0">
            <w:pPr>
              <w:rPr>
                <w:b/>
                <w:sz w:val="22"/>
                <w:u w:val="single"/>
              </w:rPr>
            </w:pPr>
          </w:p>
          <w:p w:rsidR="00D169F0" w:rsidRPr="00D169F0" w:rsidRDefault="00D169F0" w:rsidP="00D169F0">
            <w:pPr>
              <w:rPr>
                <w:b/>
                <w:sz w:val="22"/>
              </w:rPr>
            </w:pPr>
            <w:r w:rsidRPr="00494D81">
              <w:rPr>
                <w:b/>
                <w:sz w:val="22"/>
              </w:rPr>
              <w:t>HB 1715:</w:t>
            </w:r>
            <w:r>
              <w:rPr>
                <w:b/>
                <w:sz w:val="22"/>
              </w:rPr>
              <w:t xml:space="preserve"> </w:t>
            </w:r>
            <w:r w:rsidRPr="00494D81">
              <w:rPr>
                <w:sz w:val="22"/>
              </w:rPr>
              <w:t>SBCTC &amp; BEdA have brought back the agency request bill HB 1715 with full support from OSPI. The bill revises state law RCW 28A.635.060 to remove grades and transcripts from being withheld due to unpaid fines in the K-12 system. This removes a critical barrier for Washingtonians with a K-12 fine on the books allowing them access to postsecondary education.</w:t>
            </w:r>
          </w:p>
          <w:p w:rsidR="00D169F0" w:rsidRPr="00494D81" w:rsidRDefault="00D169F0" w:rsidP="00D169F0">
            <w:pPr>
              <w:rPr>
                <w:b/>
                <w:sz w:val="22"/>
              </w:rPr>
            </w:pPr>
          </w:p>
          <w:p w:rsidR="009B2178" w:rsidRPr="00F5274A" w:rsidRDefault="00D169F0" w:rsidP="000C041D">
            <w:pPr>
              <w:rPr>
                <w:b/>
                <w:sz w:val="22"/>
              </w:rPr>
            </w:pPr>
            <w:r w:rsidRPr="00494D81">
              <w:rPr>
                <w:b/>
                <w:sz w:val="22"/>
              </w:rPr>
              <w:t>Equity:</w:t>
            </w:r>
            <w:r>
              <w:rPr>
                <w:b/>
                <w:sz w:val="22"/>
              </w:rPr>
              <w:t xml:space="preserve"> </w:t>
            </w:r>
            <w:r w:rsidRPr="00494D81">
              <w:rPr>
                <w:sz w:val="22"/>
              </w:rPr>
              <w:t>“What’s Race Got to Do With It?”: The Intersection of Racial Equity and Leadership – a 7-wk. hybrid training focused on developing a collective of leaders for racial equity by exploring a personal connection to the work of equity; developing an understanding of foundational concepts; analyzing the construct of whiteness and its role in systems of dominance; and applying a racial equity lens to current practices, policies, and programming – started its 3rd cohort comprised of BEdA deans/directors/faculty/staff (Winter quarter, Jan-Feb).</w:t>
            </w:r>
          </w:p>
        </w:tc>
      </w:tr>
      <w:tr w:rsidR="009B2178" w:rsidRPr="00615E81" w:rsidTr="000C041D">
        <w:tc>
          <w:tcPr>
            <w:tcW w:w="1707" w:type="dxa"/>
            <w:shd w:val="clear" w:color="auto" w:fill="FFFFFF" w:themeFill="background1"/>
          </w:tcPr>
          <w:p w:rsidR="009B2178" w:rsidRPr="00D169F0" w:rsidRDefault="009B2178" w:rsidP="000C041D">
            <w:pPr>
              <w:rPr>
                <w:b/>
                <w:sz w:val="22"/>
              </w:rPr>
            </w:pPr>
            <w:r w:rsidRPr="00D169F0">
              <w:rPr>
                <w:b/>
                <w:sz w:val="22"/>
              </w:rPr>
              <w:t>College in the Prisons (Corrections Education)</w:t>
            </w:r>
            <w:r w:rsidR="005D2E9C" w:rsidRPr="00D169F0">
              <w:rPr>
                <w:b/>
                <w:sz w:val="22"/>
              </w:rPr>
              <w:t xml:space="preserve">  </w:t>
            </w:r>
          </w:p>
          <w:p w:rsidR="005D2E9C" w:rsidRDefault="005D2E9C" w:rsidP="000C041D">
            <w:pPr>
              <w:rPr>
                <w:b/>
                <w:sz w:val="22"/>
              </w:rPr>
            </w:pPr>
          </w:p>
        </w:tc>
        <w:tc>
          <w:tcPr>
            <w:tcW w:w="9543" w:type="dxa"/>
          </w:tcPr>
          <w:p w:rsidR="009B2178" w:rsidRPr="00D169F0" w:rsidRDefault="00D169F0" w:rsidP="000C041D">
            <w:pPr>
              <w:rPr>
                <w:sz w:val="22"/>
              </w:rPr>
            </w:pPr>
            <w:r w:rsidRPr="00D169F0">
              <w:rPr>
                <w:sz w:val="22"/>
              </w:rPr>
              <w:t>HB2299 – Creating prison to postsecondary education pathways. The bill eliminates the language of Associate Workforce Degrees and changes it to Post-Secondary Education. The bill also opens DOC partnerships to any accredited college/university and explores the use of the Internet for the purposes of furthering post-secondary education degree opportunities. The bill requires a joint (SBCTC, DOC, WSAC, reentry council) annual report to appropriate legislative committees and expands eligibility to post-secondary education to incarcerated individuals with up to 10 year remaining on sentence (currently eligibility is capped at 7 years from release). The bill requires a study from WSIPP to examine the effects of enrollment in the post-secondary education system during incarceration and post release. It would require that unofficial transcripts be provided to students at their time of release, facility transfer, and/or completion of post-secondary degree. DOC will be required to assess for student accommodation needs.</w:t>
            </w:r>
          </w:p>
        </w:tc>
      </w:tr>
      <w:tr w:rsidR="00EB234F" w:rsidRPr="000B7715" w:rsidTr="00EB234F">
        <w:tc>
          <w:tcPr>
            <w:tcW w:w="1707" w:type="dxa"/>
            <w:shd w:val="clear" w:color="auto" w:fill="FFFFFF" w:themeFill="background1"/>
          </w:tcPr>
          <w:p w:rsidR="00EB234F" w:rsidRDefault="00EB234F" w:rsidP="002311A3">
            <w:pPr>
              <w:rPr>
                <w:b/>
                <w:sz w:val="22"/>
              </w:rPr>
            </w:pPr>
            <w:r>
              <w:rPr>
                <w:b/>
                <w:sz w:val="22"/>
              </w:rPr>
              <w:t>Climate Change Conversation</w:t>
            </w:r>
          </w:p>
        </w:tc>
        <w:tc>
          <w:tcPr>
            <w:tcW w:w="9543" w:type="dxa"/>
          </w:tcPr>
          <w:p w:rsidR="001A2E47" w:rsidRPr="0000618B" w:rsidRDefault="000A18F2" w:rsidP="00A147C1">
            <w:pPr>
              <w:rPr>
                <w:sz w:val="22"/>
              </w:rPr>
            </w:pPr>
            <w:r>
              <w:rPr>
                <w:sz w:val="22"/>
              </w:rPr>
              <w:t>A small group of vice presidents continue to work on the climate change discussion. The group finalized a “one pager” outlining the scope of work the group would like to pursue and a timeline for the next two year</w:t>
            </w:r>
            <w:r w:rsidR="00A147C1">
              <w:rPr>
                <w:sz w:val="22"/>
              </w:rPr>
              <w:t xml:space="preserve"> (see attached)</w:t>
            </w:r>
            <w:r>
              <w:rPr>
                <w:sz w:val="22"/>
              </w:rPr>
              <w:t>.  The survey developed in c</w:t>
            </w:r>
            <w:r w:rsidR="0000618B">
              <w:rPr>
                <w:sz w:val="22"/>
              </w:rPr>
              <w:t>ollaboration wi</w:t>
            </w:r>
            <w:r w:rsidR="00F31881">
              <w:rPr>
                <w:sz w:val="22"/>
              </w:rPr>
              <w:t xml:space="preserve">th Curriculum of the Bio-Region </w:t>
            </w:r>
            <w:r>
              <w:rPr>
                <w:sz w:val="22"/>
              </w:rPr>
              <w:t>was administered to the Vice Presidents of Instruction</w:t>
            </w:r>
            <w:r w:rsidR="00A147C1">
              <w:rPr>
                <w:sz w:val="22"/>
              </w:rPr>
              <w:t xml:space="preserve"> in mid-January to take stock of current climate curricular practices.  </w:t>
            </w:r>
            <w:r w:rsidR="0000618B">
              <w:rPr>
                <w:sz w:val="22"/>
              </w:rPr>
              <w:t xml:space="preserve">Planning </w:t>
            </w:r>
            <w:r w:rsidR="00A147C1">
              <w:rPr>
                <w:sz w:val="22"/>
              </w:rPr>
              <w:t xml:space="preserve">is underway </w:t>
            </w:r>
            <w:r w:rsidR="0000618B">
              <w:rPr>
                <w:sz w:val="22"/>
              </w:rPr>
              <w:t xml:space="preserve">for a spring convening to bring together faculty and curriculum stakeholders. </w:t>
            </w:r>
          </w:p>
        </w:tc>
      </w:tr>
      <w:tr w:rsidR="002B6084" w:rsidRPr="000B7715" w:rsidTr="00EB234F">
        <w:tc>
          <w:tcPr>
            <w:tcW w:w="1707" w:type="dxa"/>
            <w:shd w:val="clear" w:color="auto" w:fill="FFFFFF" w:themeFill="background1"/>
          </w:tcPr>
          <w:p w:rsidR="002B6084" w:rsidRDefault="002B6084" w:rsidP="002311A3">
            <w:pPr>
              <w:rPr>
                <w:b/>
                <w:sz w:val="22"/>
              </w:rPr>
            </w:pPr>
            <w:r>
              <w:rPr>
                <w:b/>
                <w:sz w:val="22"/>
              </w:rPr>
              <w:t>MISC.</w:t>
            </w:r>
          </w:p>
        </w:tc>
        <w:tc>
          <w:tcPr>
            <w:tcW w:w="9543" w:type="dxa"/>
          </w:tcPr>
          <w:p w:rsidR="008D16F9" w:rsidRDefault="00F31881" w:rsidP="00F31881">
            <w:pPr>
              <w:rPr>
                <w:sz w:val="22"/>
              </w:rPr>
            </w:pPr>
            <w:r>
              <w:rPr>
                <w:sz w:val="22"/>
              </w:rPr>
              <w:t xml:space="preserve">There is a growing interest in the development of a statewide convening of colleges, programs, and higher education faculty for undergraduate research. A small work group has been addressing some of the initial questions and putting together a way forward for a “CURE” (Center for Undergraduate Research). An update will be provided at the Winter IC Meeting. </w:t>
            </w:r>
            <w:r w:rsidR="002B6084">
              <w:rPr>
                <w:sz w:val="22"/>
              </w:rPr>
              <w:t xml:space="preserve"> </w:t>
            </w:r>
          </w:p>
        </w:tc>
      </w:tr>
      <w:tr w:rsidR="00EB234F" w:rsidRPr="000B7715" w:rsidTr="00EB234F">
        <w:tc>
          <w:tcPr>
            <w:tcW w:w="1707" w:type="dxa"/>
            <w:shd w:val="clear" w:color="auto" w:fill="FFFFFF" w:themeFill="background1"/>
          </w:tcPr>
          <w:p w:rsidR="00EB234F" w:rsidRPr="00872DFD" w:rsidRDefault="00EB234F" w:rsidP="00872DFD">
            <w:pPr>
              <w:rPr>
                <w:b/>
                <w:sz w:val="22"/>
              </w:rPr>
            </w:pPr>
            <w:r w:rsidRPr="00D169F0">
              <w:rPr>
                <w:b/>
                <w:sz w:val="22"/>
              </w:rPr>
              <w:t>Upcoming Dates</w:t>
            </w:r>
            <w:r w:rsidRPr="00872DFD">
              <w:rPr>
                <w:b/>
                <w:sz w:val="22"/>
              </w:rPr>
              <w:tab/>
            </w:r>
          </w:p>
          <w:p w:rsidR="00EB234F" w:rsidRDefault="00EB234F" w:rsidP="00872DFD">
            <w:pPr>
              <w:rPr>
                <w:b/>
                <w:sz w:val="22"/>
              </w:rPr>
            </w:pPr>
          </w:p>
          <w:p w:rsidR="005D2E9C" w:rsidRDefault="005D2E9C" w:rsidP="00872DFD">
            <w:pPr>
              <w:rPr>
                <w:b/>
                <w:sz w:val="22"/>
              </w:rPr>
            </w:pPr>
          </w:p>
          <w:p w:rsidR="00EB234F" w:rsidRPr="00872DFD" w:rsidRDefault="00EB234F" w:rsidP="00872DFD">
            <w:pPr>
              <w:rPr>
                <w:b/>
                <w:sz w:val="22"/>
              </w:rPr>
            </w:pPr>
          </w:p>
          <w:p w:rsidR="00EB234F" w:rsidRPr="00872DFD" w:rsidRDefault="00EB234F" w:rsidP="00872DFD">
            <w:pPr>
              <w:rPr>
                <w:b/>
                <w:sz w:val="22"/>
              </w:rPr>
            </w:pPr>
            <w:r w:rsidRPr="00872DFD">
              <w:rPr>
                <w:b/>
                <w:sz w:val="22"/>
              </w:rPr>
              <w:tab/>
            </w:r>
          </w:p>
          <w:p w:rsidR="00EB234F" w:rsidRDefault="00EB234F" w:rsidP="00872DFD">
            <w:pPr>
              <w:rPr>
                <w:b/>
                <w:sz w:val="22"/>
              </w:rPr>
            </w:pPr>
            <w:r w:rsidRPr="00872DFD">
              <w:rPr>
                <w:b/>
                <w:sz w:val="22"/>
              </w:rPr>
              <w:tab/>
            </w:r>
          </w:p>
        </w:tc>
        <w:tc>
          <w:tcPr>
            <w:tcW w:w="9543" w:type="dxa"/>
          </w:tcPr>
          <w:p w:rsidR="00D169F0" w:rsidRDefault="00D169F0" w:rsidP="00D169F0">
            <w:pPr>
              <w:pStyle w:val="ListParagraph"/>
              <w:numPr>
                <w:ilvl w:val="0"/>
                <w:numId w:val="13"/>
              </w:numPr>
              <w:rPr>
                <w:sz w:val="22"/>
              </w:rPr>
            </w:pPr>
            <w:r w:rsidRPr="00D169F0">
              <w:rPr>
                <w:sz w:val="22"/>
              </w:rPr>
              <w:t>WSSSC Winter Meeting: January 30-31, 2020, Skagit Valley College</w:t>
            </w:r>
          </w:p>
          <w:p w:rsidR="00D169F0" w:rsidRPr="00D169F0" w:rsidRDefault="00D169F0" w:rsidP="00D169F0">
            <w:pPr>
              <w:pStyle w:val="ListParagraph"/>
              <w:numPr>
                <w:ilvl w:val="0"/>
                <w:numId w:val="13"/>
              </w:numPr>
              <w:rPr>
                <w:sz w:val="22"/>
              </w:rPr>
            </w:pPr>
            <w:r w:rsidRPr="00D169F0">
              <w:rPr>
                <w:sz w:val="22"/>
              </w:rPr>
              <w:t>DEI Summit, WA State DEI Council, January 21-22 – Tacoma Convention Center</w:t>
            </w:r>
          </w:p>
          <w:p w:rsidR="00D169F0" w:rsidRDefault="00D169F0" w:rsidP="00D169F0">
            <w:pPr>
              <w:pStyle w:val="ListParagraph"/>
              <w:numPr>
                <w:ilvl w:val="0"/>
                <w:numId w:val="13"/>
              </w:numPr>
              <w:rPr>
                <w:sz w:val="22"/>
              </w:rPr>
            </w:pPr>
            <w:r w:rsidRPr="00D169F0">
              <w:rPr>
                <w:sz w:val="22"/>
              </w:rPr>
              <w:t>“What’s Race Got to Do With It?”  f2f training event, February 21, Tacoma Community College</w:t>
            </w:r>
          </w:p>
          <w:p w:rsidR="00D169F0" w:rsidRPr="00D169F0" w:rsidRDefault="00D169F0" w:rsidP="00D169F0">
            <w:pPr>
              <w:pStyle w:val="ListParagraph"/>
              <w:numPr>
                <w:ilvl w:val="0"/>
                <w:numId w:val="13"/>
              </w:numPr>
              <w:rPr>
                <w:sz w:val="22"/>
              </w:rPr>
            </w:pPr>
            <w:r w:rsidRPr="00D169F0">
              <w:rPr>
                <w:sz w:val="22"/>
              </w:rPr>
              <w:t>February 12, 2020 – New Corrections Education VPI Training at SBCTC</w:t>
            </w:r>
          </w:p>
          <w:p w:rsidR="00D169F0" w:rsidRPr="00D169F0" w:rsidRDefault="00D169F0" w:rsidP="00D169F0">
            <w:pPr>
              <w:pStyle w:val="ListParagraph"/>
              <w:numPr>
                <w:ilvl w:val="0"/>
                <w:numId w:val="13"/>
              </w:numPr>
              <w:rPr>
                <w:sz w:val="22"/>
              </w:rPr>
            </w:pPr>
            <w:r w:rsidRPr="00D169F0">
              <w:rPr>
                <w:sz w:val="22"/>
              </w:rPr>
              <w:t>BEdA Navigation and Student Support, February 21st, South Seattle College</w:t>
            </w:r>
          </w:p>
          <w:p w:rsidR="00D169F0" w:rsidRPr="00D169F0" w:rsidRDefault="00D169F0" w:rsidP="00D169F0">
            <w:pPr>
              <w:pStyle w:val="ListParagraph"/>
              <w:numPr>
                <w:ilvl w:val="0"/>
                <w:numId w:val="13"/>
              </w:numPr>
              <w:rPr>
                <w:sz w:val="22"/>
              </w:rPr>
            </w:pPr>
            <w:r w:rsidRPr="00D169F0">
              <w:rPr>
                <w:sz w:val="22"/>
              </w:rPr>
              <w:t>Guided Pathways work plans, March 1 deadline</w:t>
            </w:r>
          </w:p>
          <w:p w:rsidR="00D169F0" w:rsidRPr="00D169F0" w:rsidRDefault="00D169F0" w:rsidP="00D169F0">
            <w:pPr>
              <w:pStyle w:val="ListParagraph"/>
              <w:numPr>
                <w:ilvl w:val="0"/>
                <w:numId w:val="13"/>
              </w:numPr>
              <w:rPr>
                <w:sz w:val="22"/>
              </w:rPr>
            </w:pPr>
            <w:r w:rsidRPr="00D169F0">
              <w:rPr>
                <w:sz w:val="22"/>
              </w:rPr>
              <w:t>Integration of Dev Ed and Basic Skills in Guided Pathways, Marc</w:t>
            </w:r>
            <w:r>
              <w:rPr>
                <w:sz w:val="22"/>
              </w:rPr>
              <w:t>h 6th, Spokane CC</w:t>
            </w:r>
          </w:p>
          <w:p w:rsidR="00D169F0" w:rsidRPr="00D169F0" w:rsidRDefault="00D169F0" w:rsidP="00D169F0">
            <w:pPr>
              <w:pStyle w:val="ListParagraph"/>
              <w:numPr>
                <w:ilvl w:val="0"/>
                <w:numId w:val="13"/>
              </w:numPr>
              <w:rPr>
                <w:sz w:val="22"/>
              </w:rPr>
            </w:pPr>
            <w:r w:rsidRPr="00D169F0">
              <w:rPr>
                <w:sz w:val="22"/>
              </w:rPr>
              <w:t>Dual Credit Summit, March 16-17, 2020, SeaTac</w:t>
            </w:r>
          </w:p>
          <w:p w:rsidR="00D169F0" w:rsidRPr="00D169F0" w:rsidRDefault="00D169F0" w:rsidP="00D169F0">
            <w:pPr>
              <w:pStyle w:val="ListParagraph"/>
              <w:numPr>
                <w:ilvl w:val="0"/>
                <w:numId w:val="13"/>
              </w:numPr>
              <w:rPr>
                <w:sz w:val="22"/>
              </w:rPr>
            </w:pPr>
            <w:r w:rsidRPr="00D169F0">
              <w:rPr>
                <w:sz w:val="22"/>
              </w:rPr>
              <w:t>Student Services Conference (held every 3 years): April 29 – May 1,</w:t>
            </w:r>
            <w:r>
              <w:rPr>
                <w:sz w:val="22"/>
              </w:rPr>
              <w:t xml:space="preserve"> </w:t>
            </w:r>
            <w:r w:rsidRPr="00D169F0">
              <w:rPr>
                <w:sz w:val="22"/>
              </w:rPr>
              <w:t>2020, Tacoma</w:t>
            </w:r>
          </w:p>
        </w:tc>
      </w:tr>
    </w:tbl>
    <w:p w:rsidR="0066499F" w:rsidRDefault="0066499F" w:rsidP="0066499F">
      <w:r>
        <w:tab/>
      </w:r>
      <w:r>
        <w:tab/>
      </w:r>
    </w:p>
    <w:sectPr w:rsidR="0066499F" w:rsidSect="002643A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358E7" w16cid:durableId="21CA0A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484"/>
    <w:multiLevelType w:val="hybridMultilevel"/>
    <w:tmpl w:val="F2927FC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b/>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3D07D00"/>
    <w:multiLevelType w:val="multilevel"/>
    <w:tmpl w:val="5986C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5818"/>
    <w:multiLevelType w:val="hybridMultilevel"/>
    <w:tmpl w:val="C404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F1767"/>
    <w:multiLevelType w:val="hybridMultilevel"/>
    <w:tmpl w:val="96F0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62494"/>
    <w:multiLevelType w:val="hybridMultilevel"/>
    <w:tmpl w:val="E982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0554D"/>
    <w:multiLevelType w:val="hybridMultilevel"/>
    <w:tmpl w:val="7250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F7440"/>
    <w:multiLevelType w:val="hybridMultilevel"/>
    <w:tmpl w:val="F59A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CCD"/>
    <w:multiLevelType w:val="hybridMultilevel"/>
    <w:tmpl w:val="A4BC6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B75D2"/>
    <w:multiLevelType w:val="hybridMultilevel"/>
    <w:tmpl w:val="7330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413D7"/>
    <w:multiLevelType w:val="hybridMultilevel"/>
    <w:tmpl w:val="9AB81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3269E"/>
    <w:multiLevelType w:val="hybridMultilevel"/>
    <w:tmpl w:val="731E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64FE1"/>
    <w:multiLevelType w:val="hybridMultilevel"/>
    <w:tmpl w:val="4D0E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24CEF"/>
    <w:multiLevelType w:val="hybridMultilevel"/>
    <w:tmpl w:val="5D4E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D1F4F"/>
    <w:multiLevelType w:val="hybridMultilevel"/>
    <w:tmpl w:val="EC60E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01EDF"/>
    <w:multiLevelType w:val="hybridMultilevel"/>
    <w:tmpl w:val="252A139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10A46"/>
    <w:multiLevelType w:val="hybridMultilevel"/>
    <w:tmpl w:val="BF9E8CEE"/>
    <w:lvl w:ilvl="0" w:tplc="32E00C9A">
      <w:start w:val="1"/>
      <w:numFmt w:val="bullet"/>
      <w:lvlText w:val="•"/>
      <w:lvlJc w:val="left"/>
      <w:pPr>
        <w:tabs>
          <w:tab w:val="num" w:pos="720"/>
        </w:tabs>
        <w:ind w:left="720" w:hanging="360"/>
      </w:pPr>
      <w:rPr>
        <w:rFonts w:ascii="Arial" w:hAnsi="Arial" w:hint="default"/>
      </w:rPr>
    </w:lvl>
    <w:lvl w:ilvl="1" w:tplc="C51426F4" w:tentative="1">
      <w:start w:val="1"/>
      <w:numFmt w:val="bullet"/>
      <w:lvlText w:val="•"/>
      <w:lvlJc w:val="left"/>
      <w:pPr>
        <w:tabs>
          <w:tab w:val="num" w:pos="1440"/>
        </w:tabs>
        <w:ind w:left="1440" w:hanging="360"/>
      </w:pPr>
      <w:rPr>
        <w:rFonts w:ascii="Arial" w:hAnsi="Arial" w:hint="default"/>
      </w:rPr>
    </w:lvl>
    <w:lvl w:ilvl="2" w:tplc="B4523DD4" w:tentative="1">
      <w:start w:val="1"/>
      <w:numFmt w:val="bullet"/>
      <w:lvlText w:val="•"/>
      <w:lvlJc w:val="left"/>
      <w:pPr>
        <w:tabs>
          <w:tab w:val="num" w:pos="2160"/>
        </w:tabs>
        <w:ind w:left="2160" w:hanging="360"/>
      </w:pPr>
      <w:rPr>
        <w:rFonts w:ascii="Arial" w:hAnsi="Arial" w:hint="default"/>
      </w:rPr>
    </w:lvl>
    <w:lvl w:ilvl="3" w:tplc="49D4AEA2" w:tentative="1">
      <w:start w:val="1"/>
      <w:numFmt w:val="bullet"/>
      <w:lvlText w:val="•"/>
      <w:lvlJc w:val="left"/>
      <w:pPr>
        <w:tabs>
          <w:tab w:val="num" w:pos="2880"/>
        </w:tabs>
        <w:ind w:left="2880" w:hanging="360"/>
      </w:pPr>
      <w:rPr>
        <w:rFonts w:ascii="Arial" w:hAnsi="Arial" w:hint="default"/>
      </w:rPr>
    </w:lvl>
    <w:lvl w:ilvl="4" w:tplc="179AF37C" w:tentative="1">
      <w:start w:val="1"/>
      <w:numFmt w:val="bullet"/>
      <w:lvlText w:val="•"/>
      <w:lvlJc w:val="left"/>
      <w:pPr>
        <w:tabs>
          <w:tab w:val="num" w:pos="3600"/>
        </w:tabs>
        <w:ind w:left="3600" w:hanging="360"/>
      </w:pPr>
      <w:rPr>
        <w:rFonts w:ascii="Arial" w:hAnsi="Arial" w:hint="default"/>
      </w:rPr>
    </w:lvl>
    <w:lvl w:ilvl="5" w:tplc="968846BE" w:tentative="1">
      <w:start w:val="1"/>
      <w:numFmt w:val="bullet"/>
      <w:lvlText w:val="•"/>
      <w:lvlJc w:val="left"/>
      <w:pPr>
        <w:tabs>
          <w:tab w:val="num" w:pos="4320"/>
        </w:tabs>
        <w:ind w:left="4320" w:hanging="360"/>
      </w:pPr>
      <w:rPr>
        <w:rFonts w:ascii="Arial" w:hAnsi="Arial" w:hint="default"/>
      </w:rPr>
    </w:lvl>
    <w:lvl w:ilvl="6" w:tplc="7498681A" w:tentative="1">
      <w:start w:val="1"/>
      <w:numFmt w:val="bullet"/>
      <w:lvlText w:val="•"/>
      <w:lvlJc w:val="left"/>
      <w:pPr>
        <w:tabs>
          <w:tab w:val="num" w:pos="5040"/>
        </w:tabs>
        <w:ind w:left="5040" w:hanging="360"/>
      </w:pPr>
      <w:rPr>
        <w:rFonts w:ascii="Arial" w:hAnsi="Arial" w:hint="default"/>
      </w:rPr>
    </w:lvl>
    <w:lvl w:ilvl="7" w:tplc="28BE73A0" w:tentative="1">
      <w:start w:val="1"/>
      <w:numFmt w:val="bullet"/>
      <w:lvlText w:val="•"/>
      <w:lvlJc w:val="left"/>
      <w:pPr>
        <w:tabs>
          <w:tab w:val="num" w:pos="5760"/>
        </w:tabs>
        <w:ind w:left="5760" w:hanging="360"/>
      </w:pPr>
      <w:rPr>
        <w:rFonts w:ascii="Arial" w:hAnsi="Arial" w:hint="default"/>
      </w:rPr>
    </w:lvl>
    <w:lvl w:ilvl="8" w:tplc="42E498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413C9C"/>
    <w:multiLevelType w:val="hybridMultilevel"/>
    <w:tmpl w:val="E836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A55EA"/>
    <w:multiLevelType w:val="hybridMultilevel"/>
    <w:tmpl w:val="7C486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0C032A"/>
    <w:multiLevelType w:val="hybridMultilevel"/>
    <w:tmpl w:val="190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37297"/>
    <w:multiLevelType w:val="hybridMultilevel"/>
    <w:tmpl w:val="551C9FAE"/>
    <w:lvl w:ilvl="0" w:tplc="04090003">
      <w:start w:val="1"/>
      <w:numFmt w:val="bullet"/>
      <w:lvlText w:val="o"/>
      <w:lvlJc w:val="left"/>
      <w:pPr>
        <w:ind w:left="720" w:hanging="360"/>
      </w:pPr>
      <w:rPr>
        <w:rFonts w:ascii="Courier New" w:hAnsi="Courier New" w:cs="Courier New"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42114F"/>
    <w:multiLevelType w:val="hybridMultilevel"/>
    <w:tmpl w:val="C06A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709F6"/>
    <w:multiLevelType w:val="hybridMultilevel"/>
    <w:tmpl w:val="9566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E4018"/>
    <w:multiLevelType w:val="hybridMultilevel"/>
    <w:tmpl w:val="8E9E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A3B2D"/>
    <w:multiLevelType w:val="hybridMultilevel"/>
    <w:tmpl w:val="E440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509BA"/>
    <w:multiLevelType w:val="hybridMultilevel"/>
    <w:tmpl w:val="0BD6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E6CC0"/>
    <w:multiLevelType w:val="hybridMultilevel"/>
    <w:tmpl w:val="24F42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E7438"/>
    <w:multiLevelType w:val="hybridMultilevel"/>
    <w:tmpl w:val="7F4C02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4033CE"/>
    <w:multiLevelType w:val="hybridMultilevel"/>
    <w:tmpl w:val="6A1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E46F6"/>
    <w:multiLevelType w:val="hybridMultilevel"/>
    <w:tmpl w:val="4150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777BD"/>
    <w:multiLevelType w:val="multilevel"/>
    <w:tmpl w:val="FDA6538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EF7BF2"/>
    <w:multiLevelType w:val="hybridMultilevel"/>
    <w:tmpl w:val="8524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16261"/>
    <w:multiLevelType w:val="hybridMultilevel"/>
    <w:tmpl w:val="C03C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E096D"/>
    <w:multiLevelType w:val="hybridMultilevel"/>
    <w:tmpl w:val="2D069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544790"/>
    <w:multiLevelType w:val="hybridMultilevel"/>
    <w:tmpl w:val="60C004B6"/>
    <w:lvl w:ilvl="0" w:tplc="1EBEBA62">
      <w:start w:val="1"/>
      <w:numFmt w:val="bullet"/>
      <w:lvlText w:val="•"/>
      <w:lvlJc w:val="left"/>
      <w:pPr>
        <w:tabs>
          <w:tab w:val="num" w:pos="360"/>
        </w:tabs>
        <w:ind w:left="360" w:hanging="360"/>
      </w:pPr>
      <w:rPr>
        <w:rFonts w:ascii="Arial" w:hAnsi="Arial" w:hint="default"/>
      </w:rPr>
    </w:lvl>
    <w:lvl w:ilvl="1" w:tplc="E8AA6C12">
      <w:numFmt w:val="bullet"/>
      <w:lvlText w:val="•"/>
      <w:lvlJc w:val="left"/>
      <w:pPr>
        <w:tabs>
          <w:tab w:val="num" w:pos="1080"/>
        </w:tabs>
        <w:ind w:left="1080" w:hanging="360"/>
      </w:pPr>
      <w:rPr>
        <w:rFonts w:ascii="Arial" w:hAnsi="Arial" w:hint="default"/>
      </w:rPr>
    </w:lvl>
    <w:lvl w:ilvl="2" w:tplc="8142383C">
      <w:numFmt w:val="bullet"/>
      <w:lvlText w:val="•"/>
      <w:lvlJc w:val="left"/>
      <w:pPr>
        <w:tabs>
          <w:tab w:val="num" w:pos="1800"/>
        </w:tabs>
        <w:ind w:left="1800" w:hanging="360"/>
      </w:pPr>
      <w:rPr>
        <w:rFonts w:ascii="Arial" w:hAnsi="Arial" w:hint="default"/>
      </w:rPr>
    </w:lvl>
    <w:lvl w:ilvl="3" w:tplc="B026544A" w:tentative="1">
      <w:start w:val="1"/>
      <w:numFmt w:val="bullet"/>
      <w:lvlText w:val="•"/>
      <w:lvlJc w:val="left"/>
      <w:pPr>
        <w:tabs>
          <w:tab w:val="num" w:pos="2520"/>
        </w:tabs>
        <w:ind w:left="2520" w:hanging="360"/>
      </w:pPr>
      <w:rPr>
        <w:rFonts w:ascii="Arial" w:hAnsi="Arial" w:hint="default"/>
      </w:rPr>
    </w:lvl>
    <w:lvl w:ilvl="4" w:tplc="19984E64" w:tentative="1">
      <w:start w:val="1"/>
      <w:numFmt w:val="bullet"/>
      <w:lvlText w:val="•"/>
      <w:lvlJc w:val="left"/>
      <w:pPr>
        <w:tabs>
          <w:tab w:val="num" w:pos="3240"/>
        </w:tabs>
        <w:ind w:left="3240" w:hanging="360"/>
      </w:pPr>
      <w:rPr>
        <w:rFonts w:ascii="Arial" w:hAnsi="Arial" w:hint="default"/>
      </w:rPr>
    </w:lvl>
    <w:lvl w:ilvl="5" w:tplc="A420DD96" w:tentative="1">
      <w:start w:val="1"/>
      <w:numFmt w:val="bullet"/>
      <w:lvlText w:val="•"/>
      <w:lvlJc w:val="left"/>
      <w:pPr>
        <w:tabs>
          <w:tab w:val="num" w:pos="3960"/>
        </w:tabs>
        <w:ind w:left="3960" w:hanging="360"/>
      </w:pPr>
      <w:rPr>
        <w:rFonts w:ascii="Arial" w:hAnsi="Arial" w:hint="default"/>
      </w:rPr>
    </w:lvl>
    <w:lvl w:ilvl="6" w:tplc="73CA91CE" w:tentative="1">
      <w:start w:val="1"/>
      <w:numFmt w:val="bullet"/>
      <w:lvlText w:val="•"/>
      <w:lvlJc w:val="left"/>
      <w:pPr>
        <w:tabs>
          <w:tab w:val="num" w:pos="4680"/>
        </w:tabs>
        <w:ind w:left="4680" w:hanging="360"/>
      </w:pPr>
      <w:rPr>
        <w:rFonts w:ascii="Arial" w:hAnsi="Arial" w:hint="default"/>
      </w:rPr>
    </w:lvl>
    <w:lvl w:ilvl="7" w:tplc="37C6FE22" w:tentative="1">
      <w:start w:val="1"/>
      <w:numFmt w:val="bullet"/>
      <w:lvlText w:val="•"/>
      <w:lvlJc w:val="left"/>
      <w:pPr>
        <w:tabs>
          <w:tab w:val="num" w:pos="5400"/>
        </w:tabs>
        <w:ind w:left="5400" w:hanging="360"/>
      </w:pPr>
      <w:rPr>
        <w:rFonts w:ascii="Arial" w:hAnsi="Arial" w:hint="default"/>
      </w:rPr>
    </w:lvl>
    <w:lvl w:ilvl="8" w:tplc="1EFC15A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CBC7AFC"/>
    <w:multiLevelType w:val="hybridMultilevel"/>
    <w:tmpl w:val="D7A4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5"/>
  </w:num>
  <w:num w:numId="4">
    <w:abstractNumId w:val="12"/>
  </w:num>
  <w:num w:numId="5">
    <w:abstractNumId w:val="2"/>
  </w:num>
  <w:num w:numId="6">
    <w:abstractNumId w:val="30"/>
  </w:num>
  <w:num w:numId="7">
    <w:abstractNumId w:val="28"/>
  </w:num>
  <w:num w:numId="8">
    <w:abstractNumId w:val="6"/>
  </w:num>
  <w:num w:numId="9">
    <w:abstractNumId w:val="10"/>
  </w:num>
  <w:num w:numId="10">
    <w:abstractNumId w:val="21"/>
  </w:num>
  <w:num w:numId="11">
    <w:abstractNumId w:val="8"/>
  </w:num>
  <w:num w:numId="12">
    <w:abstractNumId w:val="1"/>
  </w:num>
  <w:num w:numId="13">
    <w:abstractNumId w:val="18"/>
  </w:num>
  <w:num w:numId="14">
    <w:abstractNumId w:val="24"/>
  </w:num>
  <w:num w:numId="15">
    <w:abstractNumId w:val="11"/>
  </w:num>
  <w:num w:numId="16">
    <w:abstractNumId w:val="20"/>
  </w:num>
  <w:num w:numId="17">
    <w:abstractNumId w:val="27"/>
  </w:num>
  <w:num w:numId="18">
    <w:abstractNumId w:val="23"/>
  </w:num>
  <w:num w:numId="19">
    <w:abstractNumId w:val="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7"/>
  </w:num>
  <w:num w:numId="23">
    <w:abstractNumId w:val="4"/>
  </w:num>
  <w:num w:numId="24">
    <w:abstractNumId w:val="34"/>
  </w:num>
  <w:num w:numId="25">
    <w:abstractNumId w:val="32"/>
  </w:num>
  <w:num w:numId="26">
    <w:abstractNumId w:val="31"/>
  </w:num>
  <w:num w:numId="27">
    <w:abstractNumId w:val="16"/>
  </w:num>
  <w:num w:numId="28">
    <w:abstractNumId w:val="29"/>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
  </w:num>
  <w:num w:numId="32">
    <w:abstractNumId w:val="22"/>
  </w:num>
  <w:num w:numId="33">
    <w:abstractNumId w:val="33"/>
  </w:num>
  <w:num w:numId="34">
    <w:abstractNumId w:val="15"/>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A9"/>
    <w:rsid w:val="0000618B"/>
    <w:rsid w:val="000320E1"/>
    <w:rsid w:val="00032D4E"/>
    <w:rsid w:val="00047D89"/>
    <w:rsid w:val="000676A2"/>
    <w:rsid w:val="000711D1"/>
    <w:rsid w:val="00084EB8"/>
    <w:rsid w:val="000A0907"/>
    <w:rsid w:val="000A18F2"/>
    <w:rsid w:val="000B7715"/>
    <w:rsid w:val="000C041D"/>
    <w:rsid w:val="000D608B"/>
    <w:rsid w:val="000D6C21"/>
    <w:rsid w:val="000F3F47"/>
    <w:rsid w:val="000F4E73"/>
    <w:rsid w:val="00101B3F"/>
    <w:rsid w:val="00112296"/>
    <w:rsid w:val="001457AF"/>
    <w:rsid w:val="00156130"/>
    <w:rsid w:val="00166C00"/>
    <w:rsid w:val="0017012F"/>
    <w:rsid w:val="0018371F"/>
    <w:rsid w:val="00190182"/>
    <w:rsid w:val="00194CD4"/>
    <w:rsid w:val="001A2E47"/>
    <w:rsid w:val="001C2F35"/>
    <w:rsid w:val="002311A3"/>
    <w:rsid w:val="002507F4"/>
    <w:rsid w:val="00257BE6"/>
    <w:rsid w:val="002643A9"/>
    <w:rsid w:val="00285298"/>
    <w:rsid w:val="002905E6"/>
    <w:rsid w:val="002A3992"/>
    <w:rsid w:val="002B6084"/>
    <w:rsid w:val="002D7886"/>
    <w:rsid w:val="002F0C12"/>
    <w:rsid w:val="0031281E"/>
    <w:rsid w:val="0032551F"/>
    <w:rsid w:val="0033799C"/>
    <w:rsid w:val="003453CC"/>
    <w:rsid w:val="00350EA7"/>
    <w:rsid w:val="0036107C"/>
    <w:rsid w:val="003626E8"/>
    <w:rsid w:val="00382198"/>
    <w:rsid w:val="003831F8"/>
    <w:rsid w:val="00392BD7"/>
    <w:rsid w:val="003D285E"/>
    <w:rsid w:val="003F5D52"/>
    <w:rsid w:val="00400A7F"/>
    <w:rsid w:val="00411B3D"/>
    <w:rsid w:val="00440F3F"/>
    <w:rsid w:val="00483EDE"/>
    <w:rsid w:val="004A5047"/>
    <w:rsid w:val="004E27B3"/>
    <w:rsid w:val="00540422"/>
    <w:rsid w:val="00545FCD"/>
    <w:rsid w:val="00552256"/>
    <w:rsid w:val="00583EBE"/>
    <w:rsid w:val="0058405B"/>
    <w:rsid w:val="0059562D"/>
    <w:rsid w:val="00596C82"/>
    <w:rsid w:val="005B7C26"/>
    <w:rsid w:val="005C03C0"/>
    <w:rsid w:val="005C3915"/>
    <w:rsid w:val="005C70B6"/>
    <w:rsid w:val="005D2E9C"/>
    <w:rsid w:val="005E2F1A"/>
    <w:rsid w:val="0060139C"/>
    <w:rsid w:val="0063396F"/>
    <w:rsid w:val="0066499F"/>
    <w:rsid w:val="00694127"/>
    <w:rsid w:val="006942FE"/>
    <w:rsid w:val="00694371"/>
    <w:rsid w:val="006E30A1"/>
    <w:rsid w:val="006F1E7F"/>
    <w:rsid w:val="00705CBB"/>
    <w:rsid w:val="007153B9"/>
    <w:rsid w:val="00731F27"/>
    <w:rsid w:val="00737ED9"/>
    <w:rsid w:val="00745142"/>
    <w:rsid w:val="00753E22"/>
    <w:rsid w:val="00756376"/>
    <w:rsid w:val="00773ACD"/>
    <w:rsid w:val="00774228"/>
    <w:rsid w:val="00780A1A"/>
    <w:rsid w:val="007959DB"/>
    <w:rsid w:val="007965B3"/>
    <w:rsid w:val="007A2B57"/>
    <w:rsid w:val="007A5234"/>
    <w:rsid w:val="007B3320"/>
    <w:rsid w:val="00801E96"/>
    <w:rsid w:val="00805715"/>
    <w:rsid w:val="008108F4"/>
    <w:rsid w:val="00812855"/>
    <w:rsid w:val="0083209A"/>
    <w:rsid w:val="008562A0"/>
    <w:rsid w:val="00862E7B"/>
    <w:rsid w:val="00863B10"/>
    <w:rsid w:val="00872DFD"/>
    <w:rsid w:val="00875242"/>
    <w:rsid w:val="008863CD"/>
    <w:rsid w:val="00886E34"/>
    <w:rsid w:val="0089472D"/>
    <w:rsid w:val="008A5C19"/>
    <w:rsid w:val="008B0B6A"/>
    <w:rsid w:val="008B18A5"/>
    <w:rsid w:val="008B5C39"/>
    <w:rsid w:val="008B70E7"/>
    <w:rsid w:val="008C266E"/>
    <w:rsid w:val="008D16F9"/>
    <w:rsid w:val="008E0868"/>
    <w:rsid w:val="008F1BA8"/>
    <w:rsid w:val="0091104A"/>
    <w:rsid w:val="00921214"/>
    <w:rsid w:val="009559E9"/>
    <w:rsid w:val="009617A3"/>
    <w:rsid w:val="00962F6B"/>
    <w:rsid w:val="009722ED"/>
    <w:rsid w:val="00975FF9"/>
    <w:rsid w:val="0098079F"/>
    <w:rsid w:val="00997479"/>
    <w:rsid w:val="00997EED"/>
    <w:rsid w:val="009B2178"/>
    <w:rsid w:val="009C3A86"/>
    <w:rsid w:val="009C61E2"/>
    <w:rsid w:val="009D2543"/>
    <w:rsid w:val="009D3970"/>
    <w:rsid w:val="009F1418"/>
    <w:rsid w:val="00A04246"/>
    <w:rsid w:val="00A146F1"/>
    <w:rsid w:val="00A147C1"/>
    <w:rsid w:val="00A30E59"/>
    <w:rsid w:val="00A367C1"/>
    <w:rsid w:val="00A372A5"/>
    <w:rsid w:val="00A64826"/>
    <w:rsid w:val="00A7301D"/>
    <w:rsid w:val="00A97572"/>
    <w:rsid w:val="00AC72D0"/>
    <w:rsid w:val="00AE29C1"/>
    <w:rsid w:val="00AF71B0"/>
    <w:rsid w:val="00B2708D"/>
    <w:rsid w:val="00B30B5D"/>
    <w:rsid w:val="00B44A87"/>
    <w:rsid w:val="00B5229C"/>
    <w:rsid w:val="00B72A69"/>
    <w:rsid w:val="00B74EB6"/>
    <w:rsid w:val="00B83025"/>
    <w:rsid w:val="00B9037B"/>
    <w:rsid w:val="00B90A42"/>
    <w:rsid w:val="00BA2500"/>
    <w:rsid w:val="00BA7E1A"/>
    <w:rsid w:val="00BB7030"/>
    <w:rsid w:val="00BC69B5"/>
    <w:rsid w:val="00BD64EB"/>
    <w:rsid w:val="00C0000A"/>
    <w:rsid w:val="00C039AD"/>
    <w:rsid w:val="00C1256C"/>
    <w:rsid w:val="00C2519D"/>
    <w:rsid w:val="00C2536E"/>
    <w:rsid w:val="00C362B8"/>
    <w:rsid w:val="00C40407"/>
    <w:rsid w:val="00C67E43"/>
    <w:rsid w:val="00C961A6"/>
    <w:rsid w:val="00C962D5"/>
    <w:rsid w:val="00CA31E4"/>
    <w:rsid w:val="00CB3F1D"/>
    <w:rsid w:val="00CB683D"/>
    <w:rsid w:val="00CC790F"/>
    <w:rsid w:val="00CE192F"/>
    <w:rsid w:val="00CE5828"/>
    <w:rsid w:val="00CE5BF8"/>
    <w:rsid w:val="00CF49F5"/>
    <w:rsid w:val="00D00C66"/>
    <w:rsid w:val="00D06054"/>
    <w:rsid w:val="00D169F0"/>
    <w:rsid w:val="00D177E8"/>
    <w:rsid w:val="00D22C21"/>
    <w:rsid w:val="00D5206B"/>
    <w:rsid w:val="00D80DC4"/>
    <w:rsid w:val="00D83733"/>
    <w:rsid w:val="00D95EBF"/>
    <w:rsid w:val="00DB710C"/>
    <w:rsid w:val="00DC1A07"/>
    <w:rsid w:val="00DD48EE"/>
    <w:rsid w:val="00DE2F23"/>
    <w:rsid w:val="00DE7472"/>
    <w:rsid w:val="00DF64B0"/>
    <w:rsid w:val="00E624B1"/>
    <w:rsid w:val="00E83A03"/>
    <w:rsid w:val="00EB234F"/>
    <w:rsid w:val="00EC0A6F"/>
    <w:rsid w:val="00ED40E6"/>
    <w:rsid w:val="00ED6890"/>
    <w:rsid w:val="00EF0C8D"/>
    <w:rsid w:val="00F03D0A"/>
    <w:rsid w:val="00F1716B"/>
    <w:rsid w:val="00F26545"/>
    <w:rsid w:val="00F30B45"/>
    <w:rsid w:val="00F31881"/>
    <w:rsid w:val="00F5274A"/>
    <w:rsid w:val="00F570C3"/>
    <w:rsid w:val="00F759D7"/>
    <w:rsid w:val="00FB0D1E"/>
    <w:rsid w:val="00FB3F53"/>
    <w:rsid w:val="00FD5344"/>
    <w:rsid w:val="00FF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815C"/>
  <w15:chartTrackingRefBased/>
  <w15:docId w15:val="{2AFC76DC-A02F-4D8A-8F95-E09D0963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B83025"/>
    <w:pPr>
      <w:keepNext/>
      <w:keepLines/>
      <w:spacing w:before="40"/>
      <w:outlineLvl w:val="1"/>
    </w:pPr>
    <w:rPr>
      <w:rFonts w:asciiTheme="majorHAnsi" w:eastAsiaTheme="majorEastAsia" w:hAnsiTheme="majorHAnsi" w:cstheme="majorBidi"/>
      <w:b/>
      <w:color w:val="00666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3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7E8"/>
    <w:pPr>
      <w:ind w:left="720"/>
      <w:contextualSpacing/>
    </w:pPr>
  </w:style>
  <w:style w:type="paragraph" w:styleId="BalloonText">
    <w:name w:val="Balloon Text"/>
    <w:basedOn w:val="Normal"/>
    <w:link w:val="BalloonTextChar"/>
    <w:uiPriority w:val="99"/>
    <w:semiHidden/>
    <w:unhideWhenUsed/>
    <w:rsid w:val="00BA2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00"/>
    <w:rPr>
      <w:rFonts w:ascii="Segoe UI" w:hAnsi="Segoe UI" w:cs="Segoe UI"/>
      <w:sz w:val="18"/>
      <w:szCs w:val="18"/>
    </w:rPr>
  </w:style>
  <w:style w:type="character" w:styleId="Hyperlink">
    <w:name w:val="Hyperlink"/>
    <w:basedOn w:val="DefaultParagraphFont"/>
    <w:uiPriority w:val="99"/>
    <w:unhideWhenUsed/>
    <w:rsid w:val="00862E7B"/>
    <w:rPr>
      <w:color w:val="0563C1" w:themeColor="hyperlink"/>
      <w:u w:val="single"/>
    </w:rPr>
  </w:style>
  <w:style w:type="paragraph" w:customStyle="1" w:styleId="xmsolistparagraph">
    <w:name w:val="x_msolistparagraph"/>
    <w:basedOn w:val="Normal"/>
    <w:rsid w:val="00AF71B0"/>
    <w:pPr>
      <w:spacing w:line="240" w:lineRule="auto"/>
      <w:ind w:left="720"/>
    </w:pPr>
    <w:rPr>
      <w:rFonts w:ascii="Calibri" w:hAnsi="Calibri" w:cs="Calibri"/>
      <w:sz w:val="22"/>
    </w:rPr>
  </w:style>
  <w:style w:type="paragraph" w:styleId="NoSpacing">
    <w:name w:val="No Spacing"/>
    <w:basedOn w:val="Normal"/>
    <w:uiPriority w:val="1"/>
    <w:qFormat/>
    <w:rsid w:val="009B2178"/>
    <w:pPr>
      <w:spacing w:line="240" w:lineRule="auto"/>
    </w:pPr>
    <w:rPr>
      <w:rFonts w:ascii="Calibri" w:hAnsi="Calibri" w:cs="Calibri"/>
      <w:sz w:val="22"/>
    </w:rPr>
  </w:style>
  <w:style w:type="paragraph" w:styleId="NormalWeb">
    <w:name w:val="Normal (Web)"/>
    <w:basedOn w:val="Normal"/>
    <w:uiPriority w:val="99"/>
    <w:semiHidden/>
    <w:unhideWhenUsed/>
    <w:rsid w:val="00CA31E4"/>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7A2B57"/>
    <w:rPr>
      <w:sz w:val="16"/>
      <w:szCs w:val="16"/>
    </w:rPr>
  </w:style>
  <w:style w:type="paragraph" w:styleId="CommentText">
    <w:name w:val="annotation text"/>
    <w:basedOn w:val="Normal"/>
    <w:link w:val="CommentTextChar"/>
    <w:uiPriority w:val="99"/>
    <w:semiHidden/>
    <w:unhideWhenUsed/>
    <w:rsid w:val="007A2B57"/>
    <w:pPr>
      <w:spacing w:line="240" w:lineRule="auto"/>
    </w:pPr>
    <w:rPr>
      <w:sz w:val="20"/>
      <w:szCs w:val="20"/>
    </w:rPr>
  </w:style>
  <w:style w:type="character" w:customStyle="1" w:styleId="CommentTextChar">
    <w:name w:val="Comment Text Char"/>
    <w:basedOn w:val="DefaultParagraphFont"/>
    <w:link w:val="CommentText"/>
    <w:uiPriority w:val="99"/>
    <w:semiHidden/>
    <w:rsid w:val="007A2B57"/>
    <w:rPr>
      <w:sz w:val="20"/>
      <w:szCs w:val="20"/>
    </w:rPr>
  </w:style>
  <w:style w:type="paragraph" w:styleId="CommentSubject">
    <w:name w:val="annotation subject"/>
    <w:basedOn w:val="CommentText"/>
    <w:next w:val="CommentText"/>
    <w:link w:val="CommentSubjectChar"/>
    <w:uiPriority w:val="99"/>
    <w:semiHidden/>
    <w:unhideWhenUsed/>
    <w:rsid w:val="007A2B57"/>
    <w:rPr>
      <w:b/>
      <w:bCs/>
    </w:rPr>
  </w:style>
  <w:style w:type="character" w:customStyle="1" w:styleId="CommentSubjectChar">
    <w:name w:val="Comment Subject Char"/>
    <w:basedOn w:val="CommentTextChar"/>
    <w:link w:val="CommentSubject"/>
    <w:uiPriority w:val="99"/>
    <w:semiHidden/>
    <w:rsid w:val="007A2B57"/>
    <w:rPr>
      <w:b/>
      <w:bCs/>
      <w:sz w:val="20"/>
      <w:szCs w:val="20"/>
    </w:rPr>
  </w:style>
  <w:style w:type="character" w:customStyle="1" w:styleId="Heading2Char">
    <w:name w:val="Heading 2 Char"/>
    <w:basedOn w:val="DefaultParagraphFont"/>
    <w:link w:val="Heading2"/>
    <w:uiPriority w:val="9"/>
    <w:rsid w:val="00B83025"/>
    <w:rPr>
      <w:rFonts w:asciiTheme="majorHAnsi" w:eastAsiaTheme="majorEastAsia" w:hAnsiTheme="majorHAnsi" w:cstheme="majorBidi"/>
      <w:b/>
      <w:color w:val="006666"/>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7881">
      <w:bodyDiv w:val="1"/>
      <w:marLeft w:val="0"/>
      <w:marRight w:val="0"/>
      <w:marTop w:val="0"/>
      <w:marBottom w:val="0"/>
      <w:divBdr>
        <w:top w:val="none" w:sz="0" w:space="0" w:color="auto"/>
        <w:left w:val="none" w:sz="0" w:space="0" w:color="auto"/>
        <w:bottom w:val="none" w:sz="0" w:space="0" w:color="auto"/>
        <w:right w:val="none" w:sz="0" w:space="0" w:color="auto"/>
      </w:divBdr>
    </w:div>
    <w:div w:id="255330056">
      <w:bodyDiv w:val="1"/>
      <w:marLeft w:val="0"/>
      <w:marRight w:val="0"/>
      <w:marTop w:val="0"/>
      <w:marBottom w:val="0"/>
      <w:divBdr>
        <w:top w:val="none" w:sz="0" w:space="0" w:color="auto"/>
        <w:left w:val="none" w:sz="0" w:space="0" w:color="auto"/>
        <w:bottom w:val="none" w:sz="0" w:space="0" w:color="auto"/>
        <w:right w:val="none" w:sz="0" w:space="0" w:color="auto"/>
      </w:divBdr>
    </w:div>
    <w:div w:id="531655637">
      <w:bodyDiv w:val="1"/>
      <w:marLeft w:val="0"/>
      <w:marRight w:val="0"/>
      <w:marTop w:val="0"/>
      <w:marBottom w:val="0"/>
      <w:divBdr>
        <w:top w:val="none" w:sz="0" w:space="0" w:color="auto"/>
        <w:left w:val="none" w:sz="0" w:space="0" w:color="auto"/>
        <w:bottom w:val="none" w:sz="0" w:space="0" w:color="auto"/>
        <w:right w:val="none" w:sz="0" w:space="0" w:color="auto"/>
      </w:divBdr>
    </w:div>
    <w:div w:id="1253010962">
      <w:bodyDiv w:val="1"/>
      <w:marLeft w:val="0"/>
      <w:marRight w:val="0"/>
      <w:marTop w:val="0"/>
      <w:marBottom w:val="0"/>
      <w:divBdr>
        <w:top w:val="none" w:sz="0" w:space="0" w:color="auto"/>
        <w:left w:val="none" w:sz="0" w:space="0" w:color="auto"/>
        <w:bottom w:val="none" w:sz="0" w:space="0" w:color="auto"/>
        <w:right w:val="none" w:sz="0" w:space="0" w:color="auto"/>
      </w:divBdr>
      <w:divsChild>
        <w:div w:id="1420633620">
          <w:marLeft w:val="360"/>
          <w:marRight w:val="0"/>
          <w:marTop w:val="200"/>
          <w:marBottom w:val="0"/>
          <w:divBdr>
            <w:top w:val="none" w:sz="0" w:space="0" w:color="auto"/>
            <w:left w:val="none" w:sz="0" w:space="0" w:color="auto"/>
            <w:bottom w:val="none" w:sz="0" w:space="0" w:color="auto"/>
            <w:right w:val="none" w:sz="0" w:space="0" w:color="auto"/>
          </w:divBdr>
        </w:div>
        <w:div w:id="333144163">
          <w:marLeft w:val="360"/>
          <w:marRight w:val="0"/>
          <w:marTop w:val="200"/>
          <w:marBottom w:val="0"/>
          <w:divBdr>
            <w:top w:val="none" w:sz="0" w:space="0" w:color="auto"/>
            <w:left w:val="none" w:sz="0" w:space="0" w:color="auto"/>
            <w:bottom w:val="none" w:sz="0" w:space="0" w:color="auto"/>
            <w:right w:val="none" w:sz="0" w:space="0" w:color="auto"/>
          </w:divBdr>
        </w:div>
        <w:div w:id="138889353">
          <w:marLeft w:val="360"/>
          <w:marRight w:val="0"/>
          <w:marTop w:val="200"/>
          <w:marBottom w:val="0"/>
          <w:divBdr>
            <w:top w:val="none" w:sz="0" w:space="0" w:color="auto"/>
            <w:left w:val="none" w:sz="0" w:space="0" w:color="auto"/>
            <w:bottom w:val="none" w:sz="0" w:space="0" w:color="auto"/>
            <w:right w:val="none" w:sz="0" w:space="0" w:color="auto"/>
          </w:divBdr>
        </w:div>
        <w:div w:id="133302845">
          <w:marLeft w:val="360"/>
          <w:marRight w:val="0"/>
          <w:marTop w:val="200"/>
          <w:marBottom w:val="0"/>
          <w:divBdr>
            <w:top w:val="none" w:sz="0" w:space="0" w:color="auto"/>
            <w:left w:val="none" w:sz="0" w:space="0" w:color="auto"/>
            <w:bottom w:val="none" w:sz="0" w:space="0" w:color="auto"/>
            <w:right w:val="none" w:sz="0" w:space="0" w:color="auto"/>
          </w:divBdr>
        </w:div>
        <w:div w:id="983434785">
          <w:marLeft w:val="360"/>
          <w:marRight w:val="0"/>
          <w:marTop w:val="200"/>
          <w:marBottom w:val="0"/>
          <w:divBdr>
            <w:top w:val="none" w:sz="0" w:space="0" w:color="auto"/>
            <w:left w:val="none" w:sz="0" w:space="0" w:color="auto"/>
            <w:bottom w:val="none" w:sz="0" w:space="0" w:color="auto"/>
            <w:right w:val="none" w:sz="0" w:space="0" w:color="auto"/>
          </w:divBdr>
        </w:div>
        <w:div w:id="505479340">
          <w:marLeft w:val="360"/>
          <w:marRight w:val="0"/>
          <w:marTop w:val="200"/>
          <w:marBottom w:val="0"/>
          <w:divBdr>
            <w:top w:val="none" w:sz="0" w:space="0" w:color="auto"/>
            <w:left w:val="none" w:sz="0" w:space="0" w:color="auto"/>
            <w:bottom w:val="none" w:sz="0" w:space="0" w:color="auto"/>
            <w:right w:val="none" w:sz="0" w:space="0" w:color="auto"/>
          </w:divBdr>
        </w:div>
        <w:div w:id="1399286868">
          <w:marLeft w:val="360"/>
          <w:marRight w:val="0"/>
          <w:marTop w:val="200"/>
          <w:marBottom w:val="0"/>
          <w:divBdr>
            <w:top w:val="none" w:sz="0" w:space="0" w:color="auto"/>
            <w:left w:val="none" w:sz="0" w:space="0" w:color="auto"/>
            <w:bottom w:val="none" w:sz="0" w:space="0" w:color="auto"/>
            <w:right w:val="none" w:sz="0" w:space="0" w:color="auto"/>
          </w:divBdr>
        </w:div>
        <w:div w:id="319579680">
          <w:marLeft w:val="360"/>
          <w:marRight w:val="0"/>
          <w:marTop w:val="200"/>
          <w:marBottom w:val="0"/>
          <w:divBdr>
            <w:top w:val="none" w:sz="0" w:space="0" w:color="auto"/>
            <w:left w:val="none" w:sz="0" w:space="0" w:color="auto"/>
            <w:bottom w:val="none" w:sz="0" w:space="0" w:color="auto"/>
            <w:right w:val="none" w:sz="0" w:space="0" w:color="auto"/>
          </w:divBdr>
        </w:div>
        <w:div w:id="550189509">
          <w:marLeft w:val="360"/>
          <w:marRight w:val="0"/>
          <w:marTop w:val="200"/>
          <w:marBottom w:val="0"/>
          <w:divBdr>
            <w:top w:val="none" w:sz="0" w:space="0" w:color="auto"/>
            <w:left w:val="none" w:sz="0" w:space="0" w:color="auto"/>
            <w:bottom w:val="none" w:sz="0" w:space="0" w:color="auto"/>
            <w:right w:val="none" w:sz="0" w:space="0" w:color="auto"/>
          </w:divBdr>
        </w:div>
      </w:divsChild>
    </w:div>
    <w:div w:id="1734962903">
      <w:bodyDiv w:val="1"/>
      <w:marLeft w:val="0"/>
      <w:marRight w:val="0"/>
      <w:marTop w:val="0"/>
      <w:marBottom w:val="0"/>
      <w:divBdr>
        <w:top w:val="none" w:sz="0" w:space="0" w:color="auto"/>
        <w:left w:val="none" w:sz="0" w:space="0" w:color="auto"/>
        <w:bottom w:val="none" w:sz="0" w:space="0" w:color="auto"/>
        <w:right w:val="none" w:sz="0" w:space="0" w:color="auto"/>
      </w:divBdr>
    </w:div>
    <w:div w:id="1840919954">
      <w:bodyDiv w:val="1"/>
      <w:marLeft w:val="0"/>
      <w:marRight w:val="0"/>
      <w:marTop w:val="0"/>
      <w:marBottom w:val="0"/>
      <w:divBdr>
        <w:top w:val="none" w:sz="0" w:space="0" w:color="auto"/>
        <w:left w:val="none" w:sz="0" w:space="0" w:color="auto"/>
        <w:bottom w:val="none" w:sz="0" w:space="0" w:color="auto"/>
        <w:right w:val="none" w:sz="0" w:space="0" w:color="auto"/>
      </w:divBdr>
      <w:divsChild>
        <w:div w:id="198587493">
          <w:marLeft w:val="360"/>
          <w:marRight w:val="0"/>
          <w:marTop w:val="200"/>
          <w:marBottom w:val="0"/>
          <w:divBdr>
            <w:top w:val="none" w:sz="0" w:space="0" w:color="auto"/>
            <w:left w:val="none" w:sz="0" w:space="0" w:color="auto"/>
            <w:bottom w:val="none" w:sz="0" w:space="0" w:color="auto"/>
            <w:right w:val="none" w:sz="0" w:space="0" w:color="auto"/>
          </w:divBdr>
        </w:div>
        <w:div w:id="375669029">
          <w:marLeft w:val="1080"/>
          <w:marRight w:val="0"/>
          <w:marTop w:val="100"/>
          <w:marBottom w:val="0"/>
          <w:divBdr>
            <w:top w:val="none" w:sz="0" w:space="0" w:color="auto"/>
            <w:left w:val="none" w:sz="0" w:space="0" w:color="auto"/>
            <w:bottom w:val="none" w:sz="0" w:space="0" w:color="auto"/>
            <w:right w:val="none" w:sz="0" w:space="0" w:color="auto"/>
          </w:divBdr>
        </w:div>
        <w:div w:id="577254171">
          <w:marLeft w:val="1800"/>
          <w:marRight w:val="0"/>
          <w:marTop w:val="100"/>
          <w:marBottom w:val="0"/>
          <w:divBdr>
            <w:top w:val="none" w:sz="0" w:space="0" w:color="auto"/>
            <w:left w:val="none" w:sz="0" w:space="0" w:color="auto"/>
            <w:bottom w:val="none" w:sz="0" w:space="0" w:color="auto"/>
            <w:right w:val="none" w:sz="0" w:space="0" w:color="auto"/>
          </w:divBdr>
        </w:div>
        <w:div w:id="1860927253">
          <w:marLeft w:val="1800"/>
          <w:marRight w:val="0"/>
          <w:marTop w:val="100"/>
          <w:marBottom w:val="0"/>
          <w:divBdr>
            <w:top w:val="none" w:sz="0" w:space="0" w:color="auto"/>
            <w:left w:val="none" w:sz="0" w:space="0" w:color="auto"/>
            <w:bottom w:val="none" w:sz="0" w:space="0" w:color="auto"/>
            <w:right w:val="none" w:sz="0" w:space="0" w:color="auto"/>
          </w:divBdr>
        </w:div>
        <w:div w:id="1814712273">
          <w:marLeft w:val="1080"/>
          <w:marRight w:val="0"/>
          <w:marTop w:val="100"/>
          <w:marBottom w:val="0"/>
          <w:divBdr>
            <w:top w:val="none" w:sz="0" w:space="0" w:color="auto"/>
            <w:left w:val="none" w:sz="0" w:space="0" w:color="auto"/>
            <w:bottom w:val="none" w:sz="0" w:space="0" w:color="auto"/>
            <w:right w:val="none" w:sz="0" w:space="0" w:color="auto"/>
          </w:divBdr>
        </w:div>
        <w:div w:id="1606427190">
          <w:marLeft w:val="1800"/>
          <w:marRight w:val="0"/>
          <w:marTop w:val="100"/>
          <w:marBottom w:val="0"/>
          <w:divBdr>
            <w:top w:val="none" w:sz="0" w:space="0" w:color="auto"/>
            <w:left w:val="none" w:sz="0" w:space="0" w:color="auto"/>
            <w:bottom w:val="none" w:sz="0" w:space="0" w:color="auto"/>
            <w:right w:val="none" w:sz="0" w:space="0" w:color="auto"/>
          </w:divBdr>
        </w:div>
        <w:div w:id="840773993">
          <w:marLeft w:val="1800"/>
          <w:marRight w:val="0"/>
          <w:marTop w:val="100"/>
          <w:marBottom w:val="0"/>
          <w:divBdr>
            <w:top w:val="none" w:sz="0" w:space="0" w:color="auto"/>
            <w:left w:val="none" w:sz="0" w:space="0" w:color="auto"/>
            <w:bottom w:val="none" w:sz="0" w:space="0" w:color="auto"/>
            <w:right w:val="none" w:sz="0" w:space="0" w:color="auto"/>
          </w:divBdr>
        </w:div>
        <w:div w:id="373385599">
          <w:marLeft w:val="1080"/>
          <w:marRight w:val="0"/>
          <w:marTop w:val="100"/>
          <w:marBottom w:val="0"/>
          <w:divBdr>
            <w:top w:val="none" w:sz="0" w:space="0" w:color="auto"/>
            <w:left w:val="none" w:sz="0" w:space="0" w:color="auto"/>
            <w:bottom w:val="none" w:sz="0" w:space="0" w:color="auto"/>
            <w:right w:val="none" w:sz="0" w:space="0" w:color="auto"/>
          </w:divBdr>
        </w:div>
        <w:div w:id="598224727">
          <w:marLeft w:val="1800"/>
          <w:marRight w:val="0"/>
          <w:marTop w:val="100"/>
          <w:marBottom w:val="0"/>
          <w:divBdr>
            <w:top w:val="none" w:sz="0" w:space="0" w:color="auto"/>
            <w:left w:val="none" w:sz="0" w:space="0" w:color="auto"/>
            <w:bottom w:val="none" w:sz="0" w:space="0" w:color="auto"/>
            <w:right w:val="none" w:sz="0" w:space="0" w:color="auto"/>
          </w:divBdr>
        </w:div>
        <w:div w:id="998725617">
          <w:marLeft w:val="1800"/>
          <w:marRight w:val="0"/>
          <w:marTop w:val="100"/>
          <w:marBottom w:val="0"/>
          <w:divBdr>
            <w:top w:val="none" w:sz="0" w:space="0" w:color="auto"/>
            <w:left w:val="none" w:sz="0" w:space="0" w:color="auto"/>
            <w:bottom w:val="none" w:sz="0" w:space="0" w:color="auto"/>
            <w:right w:val="none" w:sz="0" w:space="0" w:color="auto"/>
          </w:divBdr>
        </w:div>
      </w:divsChild>
    </w:div>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 w:id="2088069633">
      <w:bodyDiv w:val="1"/>
      <w:marLeft w:val="0"/>
      <w:marRight w:val="0"/>
      <w:marTop w:val="0"/>
      <w:marBottom w:val="0"/>
      <w:divBdr>
        <w:top w:val="none" w:sz="0" w:space="0" w:color="auto"/>
        <w:left w:val="none" w:sz="0" w:space="0" w:color="auto"/>
        <w:bottom w:val="none" w:sz="0" w:space="0" w:color="auto"/>
        <w:right w:val="none" w:sz="0" w:space="0" w:color="auto"/>
      </w:divBdr>
      <w:divsChild>
        <w:div w:id="1350369325">
          <w:marLeft w:val="360"/>
          <w:marRight w:val="0"/>
          <w:marTop w:val="200"/>
          <w:marBottom w:val="0"/>
          <w:divBdr>
            <w:top w:val="none" w:sz="0" w:space="0" w:color="auto"/>
            <w:left w:val="none" w:sz="0" w:space="0" w:color="auto"/>
            <w:bottom w:val="none" w:sz="0" w:space="0" w:color="auto"/>
            <w:right w:val="none" w:sz="0" w:space="0" w:color="auto"/>
          </w:divBdr>
        </w:div>
        <w:div w:id="706098850">
          <w:marLeft w:val="1080"/>
          <w:marRight w:val="0"/>
          <w:marTop w:val="100"/>
          <w:marBottom w:val="0"/>
          <w:divBdr>
            <w:top w:val="none" w:sz="0" w:space="0" w:color="auto"/>
            <w:left w:val="none" w:sz="0" w:space="0" w:color="auto"/>
            <w:bottom w:val="none" w:sz="0" w:space="0" w:color="auto"/>
            <w:right w:val="none" w:sz="0" w:space="0" w:color="auto"/>
          </w:divBdr>
        </w:div>
        <w:div w:id="1616207940">
          <w:marLeft w:val="1800"/>
          <w:marRight w:val="0"/>
          <w:marTop w:val="100"/>
          <w:marBottom w:val="0"/>
          <w:divBdr>
            <w:top w:val="none" w:sz="0" w:space="0" w:color="auto"/>
            <w:left w:val="none" w:sz="0" w:space="0" w:color="auto"/>
            <w:bottom w:val="none" w:sz="0" w:space="0" w:color="auto"/>
            <w:right w:val="none" w:sz="0" w:space="0" w:color="auto"/>
          </w:divBdr>
        </w:div>
        <w:div w:id="2086370014">
          <w:marLeft w:val="1800"/>
          <w:marRight w:val="0"/>
          <w:marTop w:val="100"/>
          <w:marBottom w:val="0"/>
          <w:divBdr>
            <w:top w:val="none" w:sz="0" w:space="0" w:color="auto"/>
            <w:left w:val="none" w:sz="0" w:space="0" w:color="auto"/>
            <w:bottom w:val="none" w:sz="0" w:space="0" w:color="auto"/>
            <w:right w:val="none" w:sz="0" w:space="0" w:color="auto"/>
          </w:divBdr>
        </w:div>
        <w:div w:id="1129787521">
          <w:marLeft w:val="1080"/>
          <w:marRight w:val="0"/>
          <w:marTop w:val="100"/>
          <w:marBottom w:val="0"/>
          <w:divBdr>
            <w:top w:val="none" w:sz="0" w:space="0" w:color="auto"/>
            <w:left w:val="none" w:sz="0" w:space="0" w:color="auto"/>
            <w:bottom w:val="none" w:sz="0" w:space="0" w:color="auto"/>
            <w:right w:val="none" w:sz="0" w:space="0" w:color="auto"/>
          </w:divBdr>
        </w:div>
        <w:div w:id="1574271125">
          <w:marLeft w:val="1800"/>
          <w:marRight w:val="0"/>
          <w:marTop w:val="100"/>
          <w:marBottom w:val="0"/>
          <w:divBdr>
            <w:top w:val="none" w:sz="0" w:space="0" w:color="auto"/>
            <w:left w:val="none" w:sz="0" w:space="0" w:color="auto"/>
            <w:bottom w:val="none" w:sz="0" w:space="0" w:color="auto"/>
            <w:right w:val="none" w:sz="0" w:space="0" w:color="auto"/>
          </w:divBdr>
        </w:div>
        <w:div w:id="1543320946">
          <w:marLeft w:val="1800"/>
          <w:marRight w:val="0"/>
          <w:marTop w:val="100"/>
          <w:marBottom w:val="0"/>
          <w:divBdr>
            <w:top w:val="none" w:sz="0" w:space="0" w:color="auto"/>
            <w:left w:val="none" w:sz="0" w:space="0" w:color="auto"/>
            <w:bottom w:val="none" w:sz="0" w:space="0" w:color="auto"/>
            <w:right w:val="none" w:sz="0" w:space="0" w:color="auto"/>
          </w:divBdr>
        </w:div>
        <w:div w:id="1053433030">
          <w:marLeft w:val="1080"/>
          <w:marRight w:val="0"/>
          <w:marTop w:val="100"/>
          <w:marBottom w:val="0"/>
          <w:divBdr>
            <w:top w:val="none" w:sz="0" w:space="0" w:color="auto"/>
            <w:left w:val="none" w:sz="0" w:space="0" w:color="auto"/>
            <w:bottom w:val="none" w:sz="0" w:space="0" w:color="auto"/>
            <w:right w:val="none" w:sz="0" w:space="0" w:color="auto"/>
          </w:divBdr>
        </w:div>
        <w:div w:id="1290892389">
          <w:marLeft w:val="1800"/>
          <w:marRight w:val="0"/>
          <w:marTop w:val="100"/>
          <w:marBottom w:val="0"/>
          <w:divBdr>
            <w:top w:val="none" w:sz="0" w:space="0" w:color="auto"/>
            <w:left w:val="none" w:sz="0" w:space="0" w:color="auto"/>
            <w:bottom w:val="none" w:sz="0" w:space="0" w:color="auto"/>
            <w:right w:val="none" w:sz="0" w:space="0" w:color="auto"/>
          </w:divBdr>
        </w:div>
        <w:div w:id="3076393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ctc.edu/colleges-staff/programs-services/student-success-center/csw-guided-pathways-cohort-retreats.aspx"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lists.ctc.edu/mailman/listinfo/guidedpathways_lists.ctc.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bctc.edu/colleges-staff/collegeaccess/research-data/guided-pathways-dashboard.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bctc.edu/career-launch" TargetMode="External"/><Relationship Id="rId4" Type="http://schemas.openxmlformats.org/officeDocument/2006/relationships/settings" Target="settings.xml"/><Relationship Id="rId9" Type="http://schemas.openxmlformats.org/officeDocument/2006/relationships/hyperlink" Target="https://www.sbctc.edu/colleges-staff/programs-services/math/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2371-0F37-49C5-98DB-0F32A982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4721</Words>
  <Characters>26911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Schiffner</dc:creator>
  <cp:keywords/>
  <dc:description/>
  <cp:lastModifiedBy>Carli Schiffner</cp:lastModifiedBy>
  <cp:revision>6</cp:revision>
  <cp:lastPrinted>2020-01-13T18:24:00Z</cp:lastPrinted>
  <dcterms:created xsi:type="dcterms:W3CDTF">2020-01-16T13:45:00Z</dcterms:created>
  <dcterms:modified xsi:type="dcterms:W3CDTF">2020-01-16T14:29:00Z</dcterms:modified>
</cp:coreProperties>
</file>