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6C" w:rsidRDefault="005A0633" w:rsidP="000C21EA">
      <w:pPr>
        <w:tabs>
          <w:tab w:val="left" w:pos="11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WACTC Strategic Enrollment Taskforce Workplan, 2017-1</w:t>
      </w:r>
      <w:r w:rsidR="00DD133E">
        <w:rPr>
          <w:b/>
          <w:sz w:val="28"/>
          <w:szCs w:val="28"/>
        </w:rPr>
        <w:t>9</w:t>
      </w:r>
    </w:p>
    <w:p w:rsidR="00C67F59" w:rsidRPr="00C67F59" w:rsidRDefault="00C67F59" w:rsidP="000C21EA">
      <w:pPr>
        <w:rPr>
          <w:b/>
          <w:sz w:val="32"/>
          <w:szCs w:val="32"/>
        </w:rPr>
      </w:pPr>
      <w:r w:rsidRPr="00C67F59">
        <w:rPr>
          <w:b/>
          <w:sz w:val="32"/>
          <w:szCs w:val="32"/>
        </w:rPr>
        <w:t>Focus Areas and Objectives</w:t>
      </w:r>
    </w:p>
    <w:tbl>
      <w:tblPr>
        <w:tblStyle w:val="a"/>
        <w:tblW w:w="144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070"/>
        <w:gridCol w:w="3150"/>
        <w:gridCol w:w="3060"/>
        <w:gridCol w:w="1980"/>
        <w:gridCol w:w="2790"/>
      </w:tblGrid>
      <w:tr w:rsidR="00B67266" w:rsidRPr="00C67F59" w:rsidTr="00B67266">
        <w:trPr>
          <w:cantSplit/>
          <w:tblHeader/>
        </w:trPr>
        <w:tc>
          <w:tcPr>
            <w:tcW w:w="1440" w:type="dxa"/>
          </w:tcPr>
          <w:p w:rsidR="00B67266" w:rsidRPr="00C67F59" w:rsidRDefault="00B67266" w:rsidP="00064C77">
            <w:pPr>
              <w:rPr>
                <w:b/>
                <w:sz w:val="20"/>
                <w:szCs w:val="20"/>
              </w:rPr>
            </w:pPr>
            <w:r w:rsidRPr="00C67F59">
              <w:rPr>
                <w:b/>
                <w:sz w:val="20"/>
                <w:szCs w:val="20"/>
              </w:rPr>
              <w:t>Focus Area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B67266" w:rsidRPr="00C67F59" w:rsidRDefault="00B67266" w:rsidP="00064C77">
            <w:pPr>
              <w:rPr>
                <w:b/>
                <w:sz w:val="20"/>
                <w:szCs w:val="20"/>
              </w:rPr>
            </w:pPr>
            <w:r w:rsidRPr="00C67F59">
              <w:rPr>
                <w:b/>
                <w:sz w:val="20"/>
                <w:szCs w:val="20"/>
              </w:rPr>
              <w:t xml:space="preserve"> Objective(s)</w:t>
            </w:r>
          </w:p>
        </w:tc>
        <w:tc>
          <w:tcPr>
            <w:tcW w:w="3150" w:type="dxa"/>
            <w:shd w:val="clear" w:color="auto" w:fill="FDE9D9" w:themeFill="accent6" w:themeFillTint="33"/>
          </w:tcPr>
          <w:p w:rsidR="00B67266" w:rsidRPr="00C921DD" w:rsidRDefault="00B67266" w:rsidP="00064C77">
            <w:pPr>
              <w:rPr>
                <w:b/>
              </w:rPr>
            </w:pPr>
            <w:r w:rsidRPr="00C921DD">
              <w:rPr>
                <w:b/>
              </w:rPr>
              <w:t>Strategies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B67266" w:rsidRPr="00C921DD" w:rsidRDefault="00B67266" w:rsidP="00064C77">
            <w:pPr>
              <w:rPr>
                <w:b/>
              </w:rPr>
            </w:pPr>
            <w:r>
              <w:rPr>
                <w:b/>
              </w:rPr>
              <w:t>Responsible Group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B67266" w:rsidRDefault="00B67266" w:rsidP="00064C77">
            <w:pPr>
              <w:rPr>
                <w:b/>
              </w:rPr>
            </w:pPr>
            <w:r>
              <w:rPr>
                <w:b/>
              </w:rPr>
              <w:t>METRICS</w:t>
            </w:r>
          </w:p>
        </w:tc>
        <w:tc>
          <w:tcPr>
            <w:tcW w:w="2790" w:type="dxa"/>
            <w:shd w:val="clear" w:color="auto" w:fill="FFFD91"/>
          </w:tcPr>
          <w:p w:rsidR="00B67266" w:rsidRDefault="00B67266" w:rsidP="00B67266">
            <w:pPr>
              <w:tabs>
                <w:tab w:val="left" w:pos="796"/>
              </w:tabs>
              <w:ind w:right="-104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67266" w:rsidRPr="00066928" w:rsidTr="00B67266">
        <w:trPr>
          <w:trHeight w:val="3095"/>
        </w:trPr>
        <w:tc>
          <w:tcPr>
            <w:tcW w:w="1440" w:type="dxa"/>
            <w:tcBorders>
              <w:bottom w:val="single" w:sz="4" w:space="0" w:color="auto"/>
            </w:tcBorders>
          </w:tcPr>
          <w:p w:rsidR="00B67266" w:rsidRPr="00066928" w:rsidRDefault="00B67266" w:rsidP="00064C77">
            <w:pPr>
              <w:rPr>
                <w:b/>
                <w:color w:val="auto"/>
                <w:sz w:val="20"/>
                <w:szCs w:val="20"/>
              </w:rPr>
            </w:pPr>
            <w:r w:rsidRPr="00066928">
              <w:rPr>
                <w:b/>
                <w:color w:val="auto"/>
                <w:sz w:val="20"/>
                <w:szCs w:val="20"/>
              </w:rPr>
              <w:t xml:space="preserve">Overarching Goal: </w:t>
            </w:r>
          </w:p>
          <w:p w:rsidR="00B67266" w:rsidRPr="009C087D" w:rsidRDefault="00B67266" w:rsidP="00064C77">
            <w:pPr>
              <w:rPr>
                <w:color w:val="auto"/>
                <w:sz w:val="20"/>
                <w:szCs w:val="20"/>
              </w:rPr>
            </w:pPr>
            <w:r w:rsidRPr="00066928">
              <w:rPr>
                <w:color w:val="auto"/>
                <w:sz w:val="20"/>
                <w:szCs w:val="20"/>
              </w:rPr>
              <w:t>Develop plan with clear CTC system-wide objectives and strategies aimed at (1) increasing enrollment overall inclusive of all focus areas, and (2) eliminating the gap among all student groups, including under</w:t>
            </w:r>
            <w:r w:rsidR="00697E59">
              <w:rPr>
                <w:color w:val="auto"/>
                <w:sz w:val="20"/>
                <w:szCs w:val="20"/>
              </w:rPr>
              <w:t>-</w:t>
            </w:r>
            <w:bookmarkStart w:id="0" w:name="_GoBack"/>
            <w:bookmarkEnd w:id="0"/>
            <w:r w:rsidRPr="00066928">
              <w:rPr>
                <w:color w:val="auto"/>
                <w:sz w:val="20"/>
                <w:szCs w:val="20"/>
              </w:rPr>
              <w:t>represented students in regards to retention and completion.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266" w:rsidRPr="00066928" w:rsidRDefault="00B67266" w:rsidP="00064C77">
            <w:pPr>
              <w:ind w:left="-104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7266" w:rsidRPr="00C82586" w:rsidRDefault="00B67266" w:rsidP="00064C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b/>
                <w:i/>
                <w:sz w:val="20"/>
                <w:szCs w:val="20"/>
              </w:rPr>
            </w:pPr>
            <w:r w:rsidRPr="00C82586">
              <w:rPr>
                <w:b/>
                <w:i/>
                <w:sz w:val="20"/>
                <w:szCs w:val="20"/>
              </w:rPr>
              <w:t>Student lifecycle from admissions to completion and at each stage disaggregate the data.</w:t>
            </w:r>
          </w:p>
          <w:p w:rsidR="00B67266" w:rsidRPr="00C82586" w:rsidRDefault="00B67266" w:rsidP="00064C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b/>
                <w:i/>
                <w:sz w:val="20"/>
                <w:szCs w:val="20"/>
              </w:rPr>
            </w:pPr>
          </w:p>
          <w:p w:rsidR="00B67266" w:rsidRPr="00C82586" w:rsidRDefault="00B67266" w:rsidP="00064C77">
            <w:pPr>
              <w:rPr>
                <w:b/>
                <w:i/>
                <w:sz w:val="20"/>
                <w:szCs w:val="20"/>
              </w:rPr>
            </w:pPr>
            <w:r w:rsidRPr="00C82586">
              <w:rPr>
                <w:b/>
                <w:i/>
                <w:sz w:val="20"/>
                <w:szCs w:val="20"/>
              </w:rPr>
              <w:t>Define diversity, equity, inclusion state-wide.</w:t>
            </w:r>
          </w:p>
          <w:p w:rsidR="00B67266" w:rsidRPr="00C82586" w:rsidRDefault="00B67266" w:rsidP="00064C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b/>
                <w:i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sz w:val="20"/>
                <w:szCs w:val="20"/>
              </w:rPr>
            </w:pPr>
            <w:r w:rsidRPr="00C82586">
              <w:rPr>
                <w:b/>
                <w:sz w:val="20"/>
                <w:szCs w:val="20"/>
              </w:rPr>
              <w:t>Need to add glossary of terms.</w:t>
            </w:r>
            <w:r w:rsidRPr="000669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7266" w:rsidRPr="00066928" w:rsidRDefault="00B67266" w:rsidP="00064C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726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A80839">
              <w:rPr>
                <w:b/>
                <w:i/>
                <w:sz w:val="20"/>
                <w:szCs w:val="20"/>
              </w:rPr>
              <w:t xml:space="preserve">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 w:rsidRPr="00A808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population enrolled as </w:t>
            </w:r>
            <w:r w:rsidRPr="00A80839">
              <w:rPr>
                <w:b/>
                <w:i/>
                <w:sz w:val="20"/>
                <w:szCs w:val="20"/>
              </w:rPr>
              <w:t>award-seeking</w:t>
            </w:r>
            <w:r>
              <w:rPr>
                <w:b/>
                <w:i/>
                <w:sz w:val="20"/>
                <w:szCs w:val="20"/>
              </w:rPr>
              <w:t xml:space="preserve"> students</w:t>
            </w:r>
          </w:p>
          <w:p w:rsidR="00B67266" w:rsidRPr="0095792C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Disaggregated metrics for underserved student groups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D91"/>
          </w:tcPr>
          <w:p w:rsidR="00B67266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  <w:tr w:rsidR="00B67266" w:rsidRPr="00066928" w:rsidTr="00B67266">
        <w:trPr>
          <w:trHeight w:val="1601"/>
        </w:trPr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B67266" w:rsidRPr="00066928" w:rsidRDefault="00B67266" w:rsidP="001A1DBD">
            <w:pPr>
              <w:numPr>
                <w:ilvl w:val="0"/>
                <w:numId w:val="1"/>
              </w:numPr>
              <w:pBdr>
                <w:top w:val="single" w:sz="4" w:space="1" w:color="auto"/>
              </w:pBdr>
              <w:spacing w:after="160" w:line="259" w:lineRule="auto"/>
              <w:ind w:left="250" w:hanging="250"/>
              <w:contextualSpacing/>
              <w:rPr>
                <w:b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>K-12 Alignment</w:t>
            </w:r>
          </w:p>
          <w:p w:rsidR="00B67266" w:rsidRPr="00066928" w:rsidRDefault="00B67266" w:rsidP="00064C77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</w:p>
          <w:p w:rsidR="00B67266" w:rsidRPr="00066928" w:rsidRDefault="00B67266" w:rsidP="00064C77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</w:p>
          <w:p w:rsidR="00B67266" w:rsidRPr="00066928" w:rsidRDefault="00B67266" w:rsidP="00064C77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67266" w:rsidRPr="0095792C" w:rsidRDefault="00B67266" w:rsidP="00064C77">
            <w:pPr>
              <w:ind w:left="256" w:hanging="340"/>
              <w:rPr>
                <w:b/>
                <w:color w:val="7030A0"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>1.</w:t>
            </w:r>
            <w:r w:rsidRPr="0095792C">
              <w:rPr>
                <w:b/>
                <w:color w:val="7030A0"/>
                <w:sz w:val="20"/>
                <w:szCs w:val="20"/>
              </w:rPr>
              <w:t>1   Increase the number of HS students participating in dual credit programs.</w:t>
            </w:r>
          </w:p>
          <w:p w:rsidR="00B67266" w:rsidRPr="0095792C" w:rsidRDefault="00B67266" w:rsidP="00064C77">
            <w:pPr>
              <w:rPr>
                <w:b/>
                <w:color w:val="7030A0"/>
                <w:sz w:val="20"/>
                <w:szCs w:val="20"/>
              </w:rPr>
            </w:pPr>
          </w:p>
          <w:p w:rsidR="00B67266" w:rsidRPr="0095792C" w:rsidRDefault="00B67266" w:rsidP="00064C77">
            <w:pPr>
              <w:rPr>
                <w:b/>
                <w:color w:val="7030A0"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C72D8C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67266" w:rsidRDefault="00B67266" w:rsidP="00582CE6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8057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Engage in system-level discussions and planning to:</w:t>
            </w:r>
          </w:p>
          <w:p w:rsidR="00B67266" w:rsidRPr="00582CE6" w:rsidRDefault="00B67266" w:rsidP="00582CE6">
            <w:pPr>
              <w:pStyle w:val="ListParagraph"/>
              <w:ind w:left="346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B67266" w:rsidRPr="0028057B" w:rsidRDefault="00B67266" w:rsidP="0028057B">
            <w:pPr>
              <w:ind w:left="526" w:hanging="18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8057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i. Identify common goals, barriers and opportunities with emphasis on HU for Running Start and College in the High School programs.</w:t>
            </w:r>
          </w:p>
          <w:p w:rsidR="00B67266" w:rsidRPr="0028057B" w:rsidRDefault="00B67266" w:rsidP="0081138D">
            <w:pPr>
              <w:ind w:left="526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B67266" w:rsidRDefault="00B67266" w:rsidP="008113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8113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8113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8113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8113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8113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9C08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582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582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582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582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582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582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582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97E59" w:rsidRDefault="00697E59" w:rsidP="00582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67266" w:rsidRDefault="00B67266" w:rsidP="00280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16" w:hanging="18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ii. </w:t>
            </w:r>
            <w:r w:rsidRPr="0028057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Expand CTE RS and College in the High School including: Mapping additional CTE courses to HS graduation requirements and utilizing the 2018 Career Connect Washington: Strategic Plan including high school work-based apprenticeship programs.</w:t>
            </w:r>
          </w:p>
          <w:p w:rsidR="00B67266" w:rsidRDefault="00B67266" w:rsidP="00280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16" w:hanging="180"/>
              <w:rPr>
                <w:b/>
                <w:i/>
                <w:sz w:val="20"/>
                <w:szCs w:val="20"/>
              </w:rPr>
            </w:pPr>
          </w:p>
          <w:p w:rsidR="00B67266" w:rsidRDefault="00B67266" w:rsidP="00280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16" w:hanging="180"/>
              <w:rPr>
                <w:b/>
                <w:i/>
                <w:sz w:val="20"/>
                <w:szCs w:val="20"/>
              </w:rPr>
            </w:pPr>
          </w:p>
          <w:p w:rsidR="00B67266" w:rsidRDefault="00B67266" w:rsidP="00280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16" w:hanging="180"/>
              <w:rPr>
                <w:b/>
                <w:i/>
                <w:sz w:val="20"/>
                <w:szCs w:val="20"/>
              </w:rPr>
            </w:pPr>
          </w:p>
          <w:p w:rsidR="00B67266" w:rsidRDefault="00B67266" w:rsidP="00280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16" w:hanging="180"/>
              <w:rPr>
                <w:b/>
                <w:i/>
                <w:sz w:val="20"/>
                <w:szCs w:val="20"/>
              </w:rPr>
            </w:pPr>
          </w:p>
          <w:p w:rsidR="00B67266" w:rsidRDefault="00B67266" w:rsidP="001A5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  <w:sz w:val="20"/>
                <w:szCs w:val="20"/>
              </w:rPr>
            </w:pPr>
          </w:p>
          <w:p w:rsidR="00B67266" w:rsidRPr="00F2416E" w:rsidRDefault="00B67266" w:rsidP="00280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16" w:hanging="18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67266" w:rsidRPr="003A17B7" w:rsidRDefault="00B67266" w:rsidP="000F505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52" w:lineRule="auto"/>
              <w:ind w:left="250" w:hanging="18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3A17B7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Task the Articulation and Transfer Council (ATC) to include in their 2018-2019 workplan the formation of a workgroup to include, Running Start coordinators, faculty, high school counselors, and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F505F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office of superintendent of public instruction</w:t>
            </w:r>
            <w:r w:rsidRPr="003A17B7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(OSPI) </w:t>
            </w:r>
            <w:r w:rsidRPr="003A17B7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representation. </w:t>
            </w:r>
          </w:p>
          <w:p w:rsidR="00B67266" w:rsidRDefault="00B67266" w:rsidP="000F505F">
            <w:pPr>
              <w:pStyle w:val="NormalWeb"/>
              <w:spacing w:before="0" w:beforeAutospacing="0" w:after="0" w:afterAutospacing="0"/>
              <w:ind w:left="160" w:hanging="11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B67266" w:rsidRPr="003A17B7" w:rsidRDefault="00B67266" w:rsidP="003A17B7">
            <w:pPr>
              <w:pStyle w:val="NormalWeb"/>
              <w:spacing w:before="0" w:beforeAutospacing="0" w:after="0" w:afterAutospacing="0"/>
              <w:ind w:left="76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TIMELINE:  Workgroup will be convened fall quarter 2018. On behalf of ATC, the Instruction Commission liaison will provide an update at the February 14, 2019 WACTC Education Services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committee</w:t>
            </w: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meeting. The Final report will be due to WACTC Education Services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committee</w:t>
            </w: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April 25, 2019.</w:t>
            </w:r>
          </w:p>
          <w:p w:rsidR="00B67266" w:rsidRDefault="00B67266" w:rsidP="0081138D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697E59" w:rsidRDefault="00697E59" w:rsidP="0081138D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B67266" w:rsidRPr="003A17B7" w:rsidRDefault="00B67266" w:rsidP="001A5411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 w:line="252" w:lineRule="auto"/>
              <w:ind w:left="250" w:hanging="20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3A17B7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Task the Workforce Education Council (WEC) with monitoring the work involving OSPI, SBCTC, and ERDC) around CTE RS and College in the High School through the council’s 2018-2019 workplan. Input from faculty involved in this work should also be documented. </w:t>
            </w:r>
          </w:p>
          <w:p w:rsidR="00B67266" w:rsidRDefault="00B67266" w:rsidP="00064C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B67266" w:rsidRPr="003A17B7" w:rsidRDefault="00B67266" w:rsidP="003A17B7">
            <w:pPr>
              <w:pStyle w:val="NormalWeb"/>
              <w:spacing w:before="0" w:beforeAutospacing="0" w:after="0" w:afterAutospacing="0"/>
              <w:ind w:left="76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IMELINE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On behalf of WEC, the Instruction Commission liaison will p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rovide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an 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update at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the 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February 14, 2019 WACTC Education Services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committee meeting. The 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Final report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will be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due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to 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WACTC Education Services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committee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April 25, 2019.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6726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A80839">
              <w:rPr>
                <w:b/>
                <w:i/>
                <w:sz w:val="20"/>
                <w:szCs w:val="20"/>
              </w:rPr>
              <w:t xml:space="preserve">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 w:rsidRPr="00A808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high school students enrolled in dual credit as award-seeking students </w:t>
            </w:r>
          </w:p>
          <w:p w:rsidR="00B67266" w:rsidRPr="00A80839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Disaggregated metrics for underserved student groups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D91"/>
          </w:tcPr>
          <w:p w:rsidR="00B67266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  <w:tr w:rsidR="00B67266" w:rsidRPr="00066928" w:rsidTr="00B67266">
        <w:trPr>
          <w:trHeight w:val="2771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67266" w:rsidRPr="00066928" w:rsidRDefault="00B67266" w:rsidP="00064C77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67266" w:rsidRPr="0095792C" w:rsidRDefault="00B67266" w:rsidP="00064C77">
            <w:pPr>
              <w:ind w:left="340" w:hanging="340"/>
              <w:rPr>
                <w:b/>
                <w:color w:val="7030A0"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 xml:space="preserve">1.2 </w:t>
            </w:r>
            <w:r w:rsidRPr="0095792C">
              <w:rPr>
                <w:b/>
                <w:color w:val="7030A0"/>
                <w:sz w:val="20"/>
                <w:szCs w:val="20"/>
              </w:rPr>
              <w:t xml:space="preserve">Increase the number of high school graduates enrolling in higher education directly after high school. </w:t>
            </w:r>
          </w:p>
          <w:p w:rsidR="00B67266" w:rsidRPr="00066928" w:rsidRDefault="00B67266" w:rsidP="00064C77">
            <w:pPr>
              <w:ind w:left="256" w:hanging="340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B67266" w:rsidRPr="003A17B7" w:rsidRDefault="00B67266" w:rsidP="00B67266">
            <w:pPr>
              <w:pStyle w:val="PlainTex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256" w:hanging="256"/>
              <w:rPr>
                <w:b/>
                <w:sz w:val="20"/>
                <w:szCs w:val="20"/>
              </w:rPr>
            </w:pPr>
            <w:r w:rsidRPr="003A17B7">
              <w:rPr>
                <w:b/>
                <w:sz w:val="20"/>
                <w:szCs w:val="20"/>
              </w:rPr>
              <w:t>Create a Community Engagement Framework outlining opportunities to increase enrollment via community partnerships that can be scaled system-level and applied locally. Framework will:</w:t>
            </w:r>
          </w:p>
          <w:p w:rsidR="00B67266" w:rsidRDefault="00B67266" w:rsidP="00B67266">
            <w:pPr>
              <w:pStyle w:val="Plain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616" w:hanging="270"/>
              <w:rPr>
                <w:b/>
                <w:sz w:val="20"/>
                <w:szCs w:val="20"/>
              </w:rPr>
            </w:pPr>
            <w:r w:rsidRPr="005F1172">
              <w:rPr>
                <w:b/>
                <w:sz w:val="20"/>
                <w:szCs w:val="20"/>
              </w:rPr>
              <w:t>Identify strategies to enhance relationships with organiza</w:t>
            </w:r>
            <w:r>
              <w:rPr>
                <w:b/>
                <w:sz w:val="20"/>
                <w:szCs w:val="20"/>
              </w:rPr>
              <w:t>tions that serve HU populations.</w:t>
            </w:r>
          </w:p>
          <w:p w:rsidR="00B67266" w:rsidRPr="0081138D" w:rsidRDefault="00B67266" w:rsidP="00B67266">
            <w:pPr>
              <w:pStyle w:val="Plain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616" w:hanging="270"/>
              <w:rPr>
                <w:b/>
                <w:sz w:val="20"/>
                <w:szCs w:val="20"/>
              </w:rPr>
            </w:pPr>
            <w:r w:rsidRPr="0081138D">
              <w:rPr>
                <w:b/>
                <w:sz w:val="20"/>
                <w:szCs w:val="20"/>
              </w:rPr>
              <w:t>Develop funding literacy tools/practices that improve HU populations awareness of and ability to secure college funding.</w:t>
            </w:r>
          </w:p>
          <w:p w:rsidR="00B67266" w:rsidRPr="00066928" w:rsidRDefault="00B67266" w:rsidP="00064C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DE9D9" w:themeFill="accent6" w:themeFillTint="33"/>
          </w:tcPr>
          <w:p w:rsidR="00B67266" w:rsidRPr="00697E59" w:rsidRDefault="00B67266" w:rsidP="00697E59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56" w:hanging="256"/>
              <w:rPr>
                <w:b/>
                <w:i/>
                <w:sz w:val="20"/>
                <w:szCs w:val="20"/>
              </w:rPr>
            </w:pPr>
            <w:r w:rsidRPr="00697E59">
              <w:rPr>
                <w:b/>
                <w:i/>
                <w:sz w:val="20"/>
                <w:szCs w:val="20"/>
              </w:rPr>
              <w:t xml:space="preserve">Public Information Commission (PIC) will provide oversight of this work with input from the Chief Diversity and Equity Officers (CDEOs), Financial Aid Council (FAC), and the Student Services Commission (WSSSC). </w:t>
            </w:r>
          </w:p>
          <w:p w:rsidR="00B67266" w:rsidRDefault="00B67266" w:rsidP="00064C77">
            <w:pPr>
              <w:rPr>
                <w:b/>
                <w:i/>
                <w:sz w:val="20"/>
                <w:szCs w:val="20"/>
              </w:rPr>
            </w:pPr>
          </w:p>
          <w:p w:rsidR="00B67266" w:rsidRDefault="00B67266" w:rsidP="00836C2D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C82586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TIMELINE: 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A PIC liaison will provide an 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update at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the 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February 14, 2019 WACTC Education Services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committee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meeting.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The 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Final report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will be 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due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to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WACTC Education Services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committee</w:t>
            </w:r>
            <w:r w:rsidRPr="0081138D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April 25, 2019.</w:t>
            </w:r>
          </w:p>
          <w:p w:rsidR="00B67266" w:rsidRPr="00066928" w:rsidRDefault="00B67266" w:rsidP="00C8258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B6726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A80839">
              <w:rPr>
                <w:b/>
                <w:i/>
                <w:sz w:val="20"/>
                <w:szCs w:val="20"/>
              </w:rPr>
              <w:t xml:space="preserve">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 w:rsidRPr="00A808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recent HS students enrolled as award-seeking students </w:t>
            </w:r>
          </w:p>
          <w:p w:rsidR="00B67266" w:rsidRPr="00C8258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Disaggregated metrics for underserved student groups</w:t>
            </w:r>
          </w:p>
        </w:tc>
        <w:tc>
          <w:tcPr>
            <w:tcW w:w="2790" w:type="dxa"/>
            <w:shd w:val="clear" w:color="auto" w:fill="FFFD91"/>
          </w:tcPr>
          <w:p w:rsidR="00B67266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  <w:tr w:rsidR="00B67266" w:rsidRPr="00066928" w:rsidTr="00B67266"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>2. Adult Reengagement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B67266" w:rsidRPr="0095792C" w:rsidRDefault="00B67266" w:rsidP="0095792C">
            <w:pPr>
              <w:ind w:left="346" w:hanging="346"/>
              <w:rPr>
                <w:b/>
                <w:color w:val="7030A0"/>
                <w:sz w:val="20"/>
                <w:szCs w:val="20"/>
              </w:rPr>
            </w:pPr>
            <w:r w:rsidRPr="00066928">
              <w:rPr>
                <w:sz w:val="20"/>
                <w:szCs w:val="20"/>
              </w:rPr>
              <w:t>2</w:t>
            </w:r>
            <w:r w:rsidRPr="00066928">
              <w:rPr>
                <w:b/>
                <w:sz w:val="20"/>
                <w:szCs w:val="20"/>
              </w:rPr>
              <w:t xml:space="preserve">.1 </w:t>
            </w:r>
            <w:r w:rsidRPr="0095792C">
              <w:rPr>
                <w:b/>
                <w:color w:val="7030A0"/>
                <w:sz w:val="20"/>
                <w:szCs w:val="20"/>
              </w:rPr>
              <w:t>Increase enrollment to close the equity gap for adult reengagement for students who have not enrolled in college</w:t>
            </w:r>
          </w:p>
          <w:p w:rsidR="00B67266" w:rsidRPr="00C82586" w:rsidRDefault="00B67266" w:rsidP="00064C77">
            <w:pPr>
              <w:rPr>
                <w:b/>
                <w:color w:val="5F497A" w:themeColor="accent4" w:themeShade="BF"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nil"/>
            </w:tcBorders>
            <w:shd w:val="clear" w:color="auto" w:fill="FDE9D9" w:themeFill="accent6" w:themeFillTint="33"/>
          </w:tcPr>
          <w:p w:rsidR="00B67266" w:rsidRPr="001A2A6D" w:rsidRDefault="00B67266" w:rsidP="001A1DBD">
            <w:pPr>
              <w:pStyle w:val="PlainText"/>
              <w:numPr>
                <w:ilvl w:val="0"/>
                <w:numId w:val="11"/>
              </w:numPr>
              <w:tabs>
                <w:tab w:val="left" w:pos="1440"/>
              </w:tabs>
              <w:ind w:left="346" w:hanging="3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</w:t>
            </w:r>
            <w:r w:rsidRPr="001A2A6D">
              <w:rPr>
                <w:b/>
                <w:sz w:val="20"/>
                <w:szCs w:val="20"/>
              </w:rPr>
              <w:t>, disseminate, and implement effective equity-minded adult re-engagement programs that identify/eliminate/reduce barriers and opportunities including consideration of strategies for workplace learning, partnerships with industry, distance education and other delivery modes.</w:t>
            </w:r>
          </w:p>
          <w:p w:rsidR="00B67266" w:rsidRPr="001A2A6D" w:rsidRDefault="00B67266" w:rsidP="001A2A6D">
            <w:pPr>
              <w:ind w:left="346" w:hanging="346"/>
              <w:rPr>
                <w:b/>
                <w:color w:val="auto"/>
                <w:sz w:val="20"/>
                <w:szCs w:val="20"/>
              </w:rPr>
            </w:pPr>
          </w:p>
          <w:p w:rsidR="00B67266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Default="00B67266" w:rsidP="00064C77">
            <w:pPr>
              <w:rPr>
                <w:b/>
                <w:sz w:val="20"/>
                <w:szCs w:val="20"/>
              </w:rPr>
            </w:pPr>
          </w:p>
          <w:p w:rsidR="00697E59" w:rsidRDefault="00697E59" w:rsidP="00064C77">
            <w:pPr>
              <w:rPr>
                <w:b/>
                <w:sz w:val="20"/>
                <w:szCs w:val="20"/>
              </w:rPr>
            </w:pPr>
          </w:p>
          <w:p w:rsidR="00697E59" w:rsidRDefault="00697E59" w:rsidP="00064C77">
            <w:pPr>
              <w:rPr>
                <w:b/>
                <w:sz w:val="20"/>
                <w:szCs w:val="20"/>
              </w:rPr>
            </w:pPr>
          </w:p>
          <w:p w:rsidR="00B67266" w:rsidRDefault="00B67266" w:rsidP="00064C77">
            <w:pPr>
              <w:rPr>
                <w:b/>
                <w:sz w:val="20"/>
                <w:szCs w:val="20"/>
              </w:rPr>
            </w:pPr>
          </w:p>
          <w:p w:rsidR="00697E59" w:rsidRDefault="00697E59" w:rsidP="00064C77">
            <w:pPr>
              <w:rPr>
                <w:b/>
                <w:sz w:val="20"/>
                <w:szCs w:val="20"/>
              </w:rPr>
            </w:pPr>
          </w:p>
          <w:p w:rsidR="00B67266" w:rsidRDefault="00B67266" w:rsidP="001A1DBD">
            <w:pPr>
              <w:pStyle w:val="ListParagraph"/>
              <w:numPr>
                <w:ilvl w:val="0"/>
                <w:numId w:val="11"/>
              </w:numPr>
              <w:ind w:left="346" w:hanging="3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Identify, </w:t>
            </w:r>
            <w:r w:rsidRPr="001A2A6D">
              <w:rPr>
                <w:b/>
                <w:color w:val="auto"/>
                <w:sz w:val="20"/>
                <w:szCs w:val="20"/>
              </w:rPr>
              <w:t xml:space="preserve">disseminate, and implement effective equity-minded guided </w:t>
            </w:r>
            <w:r w:rsidRPr="00066928">
              <w:rPr>
                <w:b/>
                <w:sz w:val="20"/>
                <w:szCs w:val="20"/>
              </w:rPr>
              <w:t>pathways onramps for underserved populations that help students earn a HS diploma and/or transition to college-level coursework</w:t>
            </w:r>
            <w:r>
              <w:rPr>
                <w:b/>
                <w:sz w:val="20"/>
                <w:szCs w:val="20"/>
              </w:rPr>
              <w:t>.</w:t>
            </w:r>
          </w:p>
          <w:p w:rsidR="00B67266" w:rsidRDefault="00B67266" w:rsidP="009D278E">
            <w:pPr>
              <w:rPr>
                <w:b/>
                <w:sz w:val="20"/>
                <w:szCs w:val="20"/>
              </w:rPr>
            </w:pPr>
          </w:p>
          <w:p w:rsidR="00B67266" w:rsidRDefault="00B67266" w:rsidP="009D278E">
            <w:pPr>
              <w:rPr>
                <w:b/>
                <w:sz w:val="20"/>
                <w:szCs w:val="20"/>
              </w:rPr>
            </w:pPr>
          </w:p>
          <w:p w:rsidR="00B67266" w:rsidRDefault="00B67266" w:rsidP="009D278E">
            <w:pPr>
              <w:rPr>
                <w:b/>
                <w:sz w:val="20"/>
                <w:szCs w:val="20"/>
              </w:rPr>
            </w:pPr>
          </w:p>
          <w:p w:rsidR="00B67266" w:rsidRDefault="00B67266" w:rsidP="009D278E">
            <w:pPr>
              <w:rPr>
                <w:b/>
                <w:sz w:val="20"/>
                <w:szCs w:val="20"/>
              </w:rPr>
            </w:pPr>
          </w:p>
          <w:p w:rsidR="00B67266" w:rsidRDefault="00B67266" w:rsidP="009D278E">
            <w:pPr>
              <w:rPr>
                <w:b/>
                <w:sz w:val="20"/>
                <w:szCs w:val="20"/>
              </w:rPr>
            </w:pPr>
          </w:p>
          <w:p w:rsidR="00B67266" w:rsidRDefault="00B67266" w:rsidP="009D278E">
            <w:pPr>
              <w:rPr>
                <w:b/>
                <w:sz w:val="20"/>
                <w:szCs w:val="20"/>
              </w:rPr>
            </w:pPr>
          </w:p>
          <w:p w:rsidR="00B67266" w:rsidRPr="001A2A6D" w:rsidRDefault="00B67266" w:rsidP="001A1DBD">
            <w:pPr>
              <w:pStyle w:val="ListParagraph"/>
              <w:numPr>
                <w:ilvl w:val="0"/>
                <w:numId w:val="11"/>
              </w:numPr>
              <w:ind w:left="256" w:hanging="270"/>
              <w:rPr>
                <w:b/>
                <w:sz w:val="20"/>
                <w:szCs w:val="20"/>
              </w:rPr>
            </w:pPr>
            <w:r w:rsidRPr="001A2A6D">
              <w:rPr>
                <w:b/>
                <w:sz w:val="20"/>
                <w:szCs w:val="20"/>
              </w:rPr>
              <w:t xml:space="preserve">Identify, </w:t>
            </w:r>
            <w:r w:rsidRPr="001A2A6D">
              <w:rPr>
                <w:b/>
                <w:color w:val="auto"/>
                <w:sz w:val="20"/>
                <w:szCs w:val="20"/>
              </w:rPr>
              <w:t xml:space="preserve">disseminate, and implement effective equity-minded marketing and </w:t>
            </w:r>
            <w:r w:rsidRPr="001A2A6D">
              <w:rPr>
                <w:b/>
                <w:sz w:val="20"/>
                <w:szCs w:val="20"/>
              </w:rPr>
              <w:t xml:space="preserve">outreach practices </w:t>
            </w:r>
            <w:r>
              <w:rPr>
                <w:b/>
                <w:sz w:val="20"/>
                <w:szCs w:val="20"/>
              </w:rPr>
              <w:t>to</w:t>
            </w:r>
            <w:r w:rsidRPr="001A2A6D">
              <w:rPr>
                <w:b/>
                <w:sz w:val="20"/>
                <w:szCs w:val="20"/>
              </w:rPr>
              <w:t xml:space="preserve"> reach underserved populations, and disseminate them system-wide.</w:t>
            </w:r>
          </w:p>
          <w:p w:rsidR="00B67266" w:rsidRPr="009D278E" w:rsidRDefault="00B67266" w:rsidP="009D278E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shd w:val="clear" w:color="auto" w:fill="FDE9D9" w:themeFill="accent6" w:themeFillTint="33"/>
          </w:tcPr>
          <w:p w:rsidR="00B67266" w:rsidRPr="003A17B7" w:rsidRDefault="00B67266" w:rsidP="003A17B7">
            <w:pPr>
              <w:pStyle w:val="ListParagraph"/>
              <w:numPr>
                <w:ilvl w:val="0"/>
                <w:numId w:val="28"/>
              </w:numPr>
              <w:ind w:left="256" w:hanging="256"/>
              <w:rPr>
                <w:b/>
                <w:i/>
                <w:sz w:val="20"/>
                <w:szCs w:val="20"/>
              </w:rPr>
            </w:pPr>
            <w:r w:rsidRPr="003A17B7">
              <w:rPr>
                <w:b/>
                <w:i/>
                <w:sz w:val="20"/>
                <w:szCs w:val="20"/>
              </w:rPr>
              <w:t>Workforce Education Council, Washington Student Achievement Council (WSAC)’s Adult Reengagement initiatives</w:t>
            </w:r>
          </w:p>
          <w:p w:rsidR="00B67266" w:rsidRDefault="00B67266" w:rsidP="006348DF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B67266" w:rsidRPr="003A17B7" w:rsidRDefault="00B67266" w:rsidP="006348DF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18"/>
                <w:szCs w:val="18"/>
              </w:rPr>
            </w:pP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18"/>
                <w:szCs w:val="18"/>
              </w:rPr>
              <w:t xml:space="preserve">TIMELINE: </w:t>
            </w:r>
          </w:p>
          <w:p w:rsidR="00B67266" w:rsidRPr="001A5411" w:rsidRDefault="00B67266" w:rsidP="006348DF">
            <w:pPr>
              <w:pStyle w:val="NormalWe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1A5411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Identify: 2018-19 Strategy Identification to WACTC Ed Services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committee</w:t>
            </w:r>
            <w:r w:rsidRPr="001A5411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in April, 2019</w:t>
            </w:r>
          </w:p>
          <w:p w:rsidR="00B67266" w:rsidRPr="001A5411" w:rsidRDefault="00B67266" w:rsidP="006348DF">
            <w:pPr>
              <w:pStyle w:val="NormalWe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1A5411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Disseminate: WACTC Retreat, July, 2019.</w:t>
            </w:r>
          </w:p>
          <w:p w:rsidR="00B67266" w:rsidRPr="001A5411" w:rsidRDefault="00B67266" w:rsidP="006348DF">
            <w:pPr>
              <w:pStyle w:val="NormalWe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1A5411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Implement, 2019-2020</w:t>
            </w:r>
          </w:p>
          <w:p w:rsidR="00B67266" w:rsidRPr="001A5411" w:rsidRDefault="00B67266" w:rsidP="006348DF">
            <w:pPr>
              <w:pStyle w:val="NormalWe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1A5411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Assess and Repeat, April, 2020.</w:t>
            </w:r>
          </w:p>
          <w:p w:rsidR="00B67266" w:rsidRDefault="00B67266" w:rsidP="00064C77">
            <w:pPr>
              <w:rPr>
                <w:b/>
                <w:sz w:val="20"/>
                <w:szCs w:val="20"/>
              </w:rPr>
            </w:pPr>
          </w:p>
          <w:p w:rsidR="00697E59" w:rsidRPr="00066928" w:rsidRDefault="00697E59" w:rsidP="00064C77">
            <w:pPr>
              <w:rPr>
                <w:b/>
                <w:sz w:val="20"/>
                <w:szCs w:val="20"/>
              </w:rPr>
            </w:pPr>
          </w:p>
          <w:p w:rsidR="00B67266" w:rsidRPr="003A17B7" w:rsidRDefault="00B67266" w:rsidP="003A17B7">
            <w:pPr>
              <w:pStyle w:val="ListParagraph"/>
              <w:numPr>
                <w:ilvl w:val="0"/>
                <w:numId w:val="28"/>
              </w:numPr>
              <w:ind w:left="256" w:hanging="256"/>
              <w:rPr>
                <w:b/>
                <w:i/>
                <w:sz w:val="20"/>
                <w:szCs w:val="20"/>
              </w:rPr>
            </w:pPr>
            <w:r w:rsidRPr="003A17B7">
              <w:rPr>
                <w:b/>
                <w:i/>
                <w:sz w:val="20"/>
                <w:szCs w:val="20"/>
              </w:rPr>
              <w:t>Council for Basic Skills (CBS)</w:t>
            </w:r>
          </w:p>
          <w:p w:rsidR="00B67266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Default="00B67266" w:rsidP="006348DF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C82586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TIMELINE: </w:t>
            </w:r>
          </w:p>
          <w:p w:rsidR="00B67266" w:rsidRDefault="00B67266" w:rsidP="006348DF">
            <w:pPr>
              <w:pStyle w:val="NormalWeb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Identify: </w:t>
            </w:r>
            <w:r w:rsidRPr="00C82586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2018-19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Strategy Identification to WACTC Ed Services committee in April, 2019</w:t>
            </w:r>
          </w:p>
          <w:p w:rsidR="00B67266" w:rsidRDefault="00B67266" w:rsidP="006348DF">
            <w:pPr>
              <w:pStyle w:val="NormalWeb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Disseminate: WACTC Retreat, </w:t>
            </w: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18"/>
                <w:szCs w:val="18"/>
              </w:rPr>
              <w:t>Ju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18"/>
                <w:szCs w:val="18"/>
              </w:rPr>
              <w:t>ly</w:t>
            </w: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2019.</w:t>
            </w:r>
          </w:p>
          <w:p w:rsidR="00B67266" w:rsidRDefault="00B67266" w:rsidP="006348DF">
            <w:pPr>
              <w:pStyle w:val="NormalWeb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Implement, 2019-2020</w:t>
            </w:r>
          </w:p>
          <w:p w:rsidR="00B67266" w:rsidRDefault="00B67266" w:rsidP="006348DF">
            <w:pPr>
              <w:pStyle w:val="NormalWeb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Assess and Repeat, April, 2020.</w:t>
            </w:r>
          </w:p>
          <w:p w:rsidR="00B67266" w:rsidRDefault="00B67266" w:rsidP="00064C77">
            <w:pPr>
              <w:rPr>
                <w:b/>
                <w:i/>
                <w:sz w:val="20"/>
                <w:szCs w:val="20"/>
              </w:rPr>
            </w:pPr>
          </w:p>
          <w:p w:rsidR="00B67266" w:rsidRDefault="00B67266" w:rsidP="00064C77">
            <w:pPr>
              <w:rPr>
                <w:b/>
                <w:i/>
                <w:sz w:val="20"/>
                <w:szCs w:val="20"/>
              </w:rPr>
            </w:pPr>
          </w:p>
          <w:p w:rsidR="00B67266" w:rsidRPr="00C82586" w:rsidRDefault="00B67266" w:rsidP="003A17B7">
            <w:pPr>
              <w:pStyle w:val="PlainText"/>
              <w:numPr>
                <w:ilvl w:val="0"/>
                <w:numId w:val="28"/>
              </w:numPr>
              <w:tabs>
                <w:tab w:val="left" w:pos="1440"/>
              </w:tabs>
              <w:ind w:left="256" w:hanging="256"/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</w:pPr>
            <w:r w:rsidRPr="00C82586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Public Information Commission (PIC), Admissions and Registrations Council (ARC), outreach directors</w:t>
            </w:r>
          </w:p>
          <w:p w:rsidR="00B67266" w:rsidRPr="00C82586" w:rsidRDefault="00B67266" w:rsidP="003A17B7">
            <w:pPr>
              <w:pStyle w:val="PlainText"/>
              <w:tabs>
                <w:tab w:val="left" w:pos="1440"/>
              </w:tabs>
              <w:ind w:left="256" w:hanging="256"/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</w:pPr>
          </w:p>
          <w:p w:rsidR="00B67266" w:rsidRDefault="00B67266" w:rsidP="006348DF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C82586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TIMELINE: </w:t>
            </w:r>
          </w:p>
          <w:p w:rsidR="00B67266" w:rsidRDefault="00B67266" w:rsidP="006348DF">
            <w:pPr>
              <w:pStyle w:val="NormalWeb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Identify: </w:t>
            </w:r>
            <w:r w:rsidRPr="00C82586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2018-19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Strategy Identification to WACTC Ed Services committee in April, 2019</w:t>
            </w:r>
          </w:p>
          <w:p w:rsidR="00B67266" w:rsidRDefault="00B67266" w:rsidP="006348DF">
            <w:pPr>
              <w:pStyle w:val="NormalWeb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Disseminate: WACTC Retreat, </w:t>
            </w: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18"/>
                <w:szCs w:val="18"/>
              </w:rPr>
              <w:t>Ju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18"/>
                <w:szCs w:val="18"/>
              </w:rPr>
              <w:t>ly</w:t>
            </w: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 2019.</w:t>
            </w:r>
          </w:p>
          <w:p w:rsidR="00B67266" w:rsidRDefault="00B67266" w:rsidP="006348DF">
            <w:pPr>
              <w:pStyle w:val="NormalWeb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Implement, 2019-2020</w:t>
            </w:r>
          </w:p>
          <w:p w:rsidR="00B67266" w:rsidRDefault="00B67266" w:rsidP="006348DF">
            <w:pPr>
              <w:pStyle w:val="NormalWeb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Assess and Repeat, April, 2020.</w:t>
            </w:r>
          </w:p>
          <w:p w:rsidR="00B67266" w:rsidRPr="00066928" w:rsidRDefault="00B67266" w:rsidP="00064C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B6726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A80839">
              <w:rPr>
                <w:b/>
                <w:i/>
                <w:sz w:val="20"/>
                <w:szCs w:val="20"/>
              </w:rPr>
              <w:t xml:space="preserve">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 w:rsidRPr="00A808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adults 25 and older enrolled as </w:t>
            </w:r>
            <w:r w:rsidRPr="00A80839">
              <w:rPr>
                <w:b/>
                <w:i/>
                <w:sz w:val="20"/>
                <w:szCs w:val="20"/>
              </w:rPr>
              <w:t>award-seeking</w:t>
            </w:r>
            <w:r>
              <w:rPr>
                <w:b/>
                <w:i/>
                <w:sz w:val="20"/>
                <w:szCs w:val="20"/>
              </w:rPr>
              <w:t xml:space="preserve"> students (no prior college) </w:t>
            </w:r>
          </w:p>
          <w:p w:rsidR="00B67266" w:rsidRPr="00C8258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Disaggregated metrics for underserved student groups</w:t>
            </w:r>
          </w:p>
        </w:tc>
        <w:tc>
          <w:tcPr>
            <w:tcW w:w="2790" w:type="dxa"/>
            <w:shd w:val="clear" w:color="auto" w:fill="FFFD91"/>
          </w:tcPr>
          <w:p w:rsidR="00B67266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  <w:tr w:rsidR="00B67266" w:rsidRPr="00066928" w:rsidTr="00B67266">
        <w:trPr>
          <w:trHeight w:val="3185"/>
        </w:trPr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67266" w:rsidRPr="00066928" w:rsidRDefault="00B67266" w:rsidP="001A1DBD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5792C">
              <w:rPr>
                <w:b/>
                <w:color w:val="7030A0"/>
                <w:sz w:val="20"/>
                <w:szCs w:val="20"/>
              </w:rPr>
              <w:t>Increase enrollment to close the equity gap for adult reengagement for students who some college credits.</w:t>
            </w:r>
            <w:r w:rsidRPr="00C82586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FDE9D9" w:themeFill="accent6" w:themeFillTint="33"/>
          </w:tcPr>
          <w:p w:rsidR="00B67266" w:rsidRDefault="00B67266" w:rsidP="00C4729F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b/>
                <w:sz w:val="20"/>
                <w:szCs w:val="20"/>
              </w:rPr>
            </w:pPr>
            <w:r w:rsidRPr="00C4729F">
              <w:rPr>
                <w:b/>
                <w:sz w:val="20"/>
                <w:szCs w:val="20"/>
              </w:rPr>
              <w:t>Develop a statewide equity-minded awareness campaign to reach community members who ‘stopped out’ during high school or after high school completion to address the value of a postsecondary credential. (Survey data by be available from Katie Rose at SBCTC.)</w:t>
            </w:r>
          </w:p>
          <w:p w:rsidR="00B67266" w:rsidRDefault="00B67266" w:rsidP="00C4729F">
            <w:pPr>
              <w:pStyle w:val="ListParagraph"/>
              <w:ind w:left="256"/>
              <w:rPr>
                <w:b/>
                <w:sz w:val="20"/>
                <w:szCs w:val="20"/>
              </w:rPr>
            </w:pPr>
          </w:p>
          <w:p w:rsidR="00697E59" w:rsidRPr="00C4729F" w:rsidRDefault="00697E59" w:rsidP="00C4729F">
            <w:pPr>
              <w:pStyle w:val="ListParagraph"/>
              <w:ind w:left="256"/>
              <w:rPr>
                <w:b/>
                <w:sz w:val="20"/>
                <w:szCs w:val="20"/>
              </w:rPr>
            </w:pPr>
          </w:p>
          <w:p w:rsidR="00B67266" w:rsidRPr="00582CE6" w:rsidRDefault="00B67266" w:rsidP="00064C77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b/>
                <w:sz w:val="20"/>
                <w:szCs w:val="20"/>
              </w:rPr>
            </w:pPr>
            <w:r w:rsidRPr="0095792C">
              <w:rPr>
                <w:b/>
                <w:sz w:val="20"/>
                <w:szCs w:val="20"/>
              </w:rPr>
              <w:t>Consider models that reach adult students through existing data such as College bound and Head Start data.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FDE9D9" w:themeFill="accent6" w:themeFillTint="33"/>
          </w:tcPr>
          <w:p w:rsidR="00B67266" w:rsidRPr="00C82586" w:rsidRDefault="00B67266" w:rsidP="00C4729F">
            <w:pPr>
              <w:pStyle w:val="PlainText"/>
              <w:numPr>
                <w:ilvl w:val="0"/>
                <w:numId w:val="28"/>
              </w:numPr>
              <w:tabs>
                <w:tab w:val="left" w:pos="1440"/>
              </w:tabs>
              <w:ind w:left="256" w:hanging="256"/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</w:pPr>
            <w:r w:rsidRPr="00C82586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SBCTC and PIC.</w:t>
            </w:r>
          </w:p>
          <w:p w:rsidR="00B67266" w:rsidRPr="003A17B7" w:rsidRDefault="00B67266" w:rsidP="00064C77">
            <w:pPr>
              <w:pStyle w:val="PlainText"/>
              <w:tabs>
                <w:tab w:val="left" w:pos="1440"/>
              </w:tabs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</w:pPr>
          </w:p>
          <w:p w:rsidR="00B67266" w:rsidRPr="003A17B7" w:rsidRDefault="00B67266" w:rsidP="006348DF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TIMELINE: Launch May/June 2019.</w:t>
            </w:r>
          </w:p>
          <w:p w:rsidR="00B67266" w:rsidRPr="0095792C" w:rsidRDefault="00B67266" w:rsidP="006348DF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95792C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Cost: </w:t>
            </w:r>
          </w:p>
          <w:p w:rsidR="00B67266" w:rsidRPr="003A17B7" w:rsidRDefault="00B67266" w:rsidP="006348DF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95792C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$500,000-$900,000</w:t>
            </w:r>
          </w:p>
          <w:p w:rsidR="00B67266" w:rsidRPr="003A17B7" w:rsidRDefault="00B67266" w:rsidP="006348DF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B67266" w:rsidRPr="003A17B7" w:rsidRDefault="00B67266" w:rsidP="006348DF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B67266" w:rsidRDefault="00B67266" w:rsidP="003A17B7">
            <w:pPr>
              <w:pStyle w:val="NormalWeb"/>
              <w:spacing w:before="0" w:beforeAutospacing="0" w:after="0" w:afterAutospacing="0"/>
              <w:ind w:hanging="14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B67266" w:rsidRDefault="00B67266" w:rsidP="003A17B7">
            <w:pPr>
              <w:pStyle w:val="NormalWeb"/>
              <w:spacing w:before="0" w:beforeAutospacing="0" w:after="0" w:afterAutospacing="0"/>
              <w:ind w:hanging="14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697E59" w:rsidRPr="003A17B7" w:rsidRDefault="00697E59" w:rsidP="00697E5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B67266" w:rsidRPr="003A17B7" w:rsidRDefault="00B67266" w:rsidP="003A17B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256" w:hanging="256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3A17B7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SBCTC, PIC, ARC. Ed Services Report in April 2019.</w:t>
            </w:r>
          </w:p>
          <w:p w:rsidR="00B67266" w:rsidRPr="003A17B7" w:rsidRDefault="00B67266" w:rsidP="003A17B7">
            <w:pPr>
              <w:pStyle w:val="NormalWeb"/>
              <w:spacing w:before="0" w:beforeAutospacing="0" w:after="0" w:afterAutospacing="0"/>
              <w:ind w:hanging="14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B67266" w:rsidRPr="003A17B7" w:rsidRDefault="00B67266" w:rsidP="00C82586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B6726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A80839">
              <w:rPr>
                <w:b/>
                <w:i/>
                <w:sz w:val="20"/>
                <w:szCs w:val="20"/>
              </w:rPr>
              <w:t xml:space="preserve">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 w:rsidRPr="00A808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adults 25 and older enrolled as </w:t>
            </w:r>
            <w:r w:rsidRPr="00A80839">
              <w:rPr>
                <w:b/>
                <w:i/>
                <w:sz w:val="20"/>
                <w:szCs w:val="20"/>
              </w:rPr>
              <w:t>award-seeking</w:t>
            </w:r>
            <w:r>
              <w:rPr>
                <w:b/>
                <w:i/>
                <w:sz w:val="20"/>
                <w:szCs w:val="20"/>
              </w:rPr>
              <w:t xml:space="preserve"> students (some  prior college) </w:t>
            </w:r>
          </w:p>
          <w:p w:rsidR="00B67266" w:rsidRPr="00A80839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Disaggregated metrics for underserved student groups</w:t>
            </w:r>
          </w:p>
        </w:tc>
        <w:tc>
          <w:tcPr>
            <w:tcW w:w="2790" w:type="dxa"/>
            <w:shd w:val="clear" w:color="auto" w:fill="FFFD91"/>
          </w:tcPr>
          <w:p w:rsidR="00B67266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  <w:tr w:rsidR="00B67266" w:rsidRPr="00066928" w:rsidTr="00B67266">
        <w:trPr>
          <w:trHeight w:val="800"/>
        </w:trPr>
        <w:tc>
          <w:tcPr>
            <w:tcW w:w="1440" w:type="dxa"/>
            <w:tcBorders>
              <w:bottom w:val="nil"/>
            </w:tcBorders>
          </w:tcPr>
          <w:p w:rsidR="00B67266" w:rsidRPr="00066928" w:rsidRDefault="00B67266" w:rsidP="001A1DBD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b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>Onboarding/</w:t>
            </w:r>
          </w:p>
          <w:p w:rsidR="00B67266" w:rsidRPr="00066928" w:rsidRDefault="00B67266" w:rsidP="00064C77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>Entry</w:t>
            </w: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67266" w:rsidRPr="0095792C" w:rsidRDefault="00B67266" w:rsidP="00064C77">
            <w:pPr>
              <w:ind w:left="250" w:hanging="250"/>
              <w:rPr>
                <w:b/>
                <w:color w:val="7030A0"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 xml:space="preserve">3.1 </w:t>
            </w:r>
            <w:r w:rsidRPr="0095792C">
              <w:rPr>
                <w:b/>
                <w:color w:val="7030A0"/>
                <w:sz w:val="20"/>
                <w:szCs w:val="20"/>
              </w:rPr>
              <w:t xml:space="preserve">Increase the number of students who enroll after applying to the colleges with an emphasis on </w:t>
            </w:r>
            <w:r>
              <w:rPr>
                <w:b/>
                <w:color w:val="7030A0"/>
                <w:sz w:val="20"/>
                <w:szCs w:val="20"/>
              </w:rPr>
              <w:t>eliminating</w:t>
            </w:r>
            <w:r w:rsidRPr="0095792C">
              <w:rPr>
                <w:b/>
                <w:color w:val="7030A0"/>
                <w:sz w:val="20"/>
                <w:szCs w:val="20"/>
              </w:rPr>
              <w:t xml:space="preserve"> the equity gap.</w:t>
            </w:r>
          </w:p>
          <w:p w:rsidR="00B67266" w:rsidRPr="00C82586" w:rsidRDefault="00B67266" w:rsidP="00064C77">
            <w:pPr>
              <w:rPr>
                <w:b/>
                <w:color w:val="5F497A" w:themeColor="accent4" w:themeShade="BF"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b/>
                <w:sz w:val="20"/>
                <w:szCs w:val="20"/>
              </w:rPr>
            </w:pPr>
          </w:p>
          <w:p w:rsidR="00B67266" w:rsidRPr="00066928" w:rsidRDefault="00B67266" w:rsidP="00064C77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B67266" w:rsidRPr="00066928" w:rsidRDefault="00B67266" w:rsidP="001E747E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b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>Simplify entry processes (e.g. rebuild state online application form and process and integrate with CRM information)</w:t>
            </w:r>
          </w:p>
          <w:p w:rsidR="00B67266" w:rsidRPr="00066928" w:rsidRDefault="00B67266" w:rsidP="001E747E">
            <w:pPr>
              <w:ind w:left="256" w:hanging="270"/>
              <w:rPr>
                <w:b/>
                <w:sz w:val="20"/>
                <w:szCs w:val="20"/>
              </w:rPr>
            </w:pPr>
          </w:p>
          <w:p w:rsidR="00B67266" w:rsidRPr="00066928" w:rsidRDefault="00B67266" w:rsidP="001E747E">
            <w:pPr>
              <w:ind w:left="256" w:hanging="270"/>
              <w:rPr>
                <w:b/>
                <w:sz w:val="20"/>
                <w:szCs w:val="20"/>
              </w:rPr>
            </w:pPr>
          </w:p>
          <w:p w:rsidR="00B67266" w:rsidRDefault="00B67266" w:rsidP="001E747E">
            <w:pPr>
              <w:ind w:left="256" w:hanging="270"/>
              <w:rPr>
                <w:b/>
                <w:sz w:val="20"/>
                <w:szCs w:val="20"/>
              </w:rPr>
            </w:pPr>
          </w:p>
          <w:p w:rsidR="00B67266" w:rsidRDefault="00B67266" w:rsidP="001E747E">
            <w:pPr>
              <w:ind w:left="256" w:hanging="270"/>
              <w:rPr>
                <w:b/>
                <w:sz w:val="20"/>
                <w:szCs w:val="20"/>
              </w:rPr>
            </w:pPr>
          </w:p>
          <w:p w:rsidR="00697E59" w:rsidRPr="00066928" w:rsidRDefault="00697E59" w:rsidP="001E747E">
            <w:pPr>
              <w:ind w:left="256" w:hanging="270"/>
              <w:rPr>
                <w:b/>
                <w:sz w:val="20"/>
                <w:szCs w:val="20"/>
              </w:rPr>
            </w:pPr>
          </w:p>
          <w:p w:rsidR="00B67266" w:rsidRPr="00066928" w:rsidRDefault="00B67266" w:rsidP="001E747E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b/>
                <w:i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>Assist students thr</w:t>
            </w:r>
            <w:r>
              <w:rPr>
                <w:b/>
                <w:sz w:val="20"/>
                <w:szCs w:val="20"/>
              </w:rPr>
              <w:t xml:space="preserve">ough the entry process: Use CRM or </w:t>
            </w:r>
            <w:r w:rsidRPr="00066928">
              <w:rPr>
                <w:b/>
                <w:sz w:val="20"/>
                <w:szCs w:val="20"/>
              </w:rPr>
              <w:t>tracking to eliminate common barriers in the entry process and target those areas (ex: financ</w:t>
            </w:r>
            <w:r>
              <w:rPr>
                <w:b/>
                <w:sz w:val="20"/>
                <w:szCs w:val="20"/>
              </w:rPr>
              <w:t>ial aid, placement testing, transcript evaluation, parking permit, email address, orientation</w:t>
            </w:r>
            <w:r w:rsidRPr="000669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B67266" w:rsidRPr="00C82586" w:rsidRDefault="00B67266" w:rsidP="003A17B7">
            <w:pPr>
              <w:pStyle w:val="PlainText"/>
              <w:numPr>
                <w:ilvl w:val="0"/>
                <w:numId w:val="29"/>
              </w:numPr>
              <w:tabs>
                <w:tab w:val="left" w:pos="1440"/>
              </w:tabs>
              <w:ind w:left="256" w:hanging="256"/>
              <w:rPr>
                <w:b/>
                <w:i/>
                <w:sz w:val="20"/>
                <w:szCs w:val="20"/>
              </w:rPr>
            </w:pPr>
            <w:r w:rsidRPr="00C82586">
              <w:rPr>
                <w:b/>
                <w:i/>
                <w:sz w:val="20"/>
                <w:szCs w:val="20"/>
              </w:rPr>
              <w:t>WA Admissions application group, WA Student Services Commission (WSSSC)</w:t>
            </w:r>
          </w:p>
          <w:p w:rsidR="00B67266" w:rsidRPr="00C82586" w:rsidRDefault="00B67266" w:rsidP="001E747E">
            <w:pPr>
              <w:pStyle w:val="PlainText"/>
              <w:tabs>
                <w:tab w:val="left" w:pos="1440"/>
              </w:tabs>
              <w:rPr>
                <w:b/>
                <w:i/>
                <w:sz w:val="20"/>
                <w:szCs w:val="20"/>
              </w:rPr>
            </w:pPr>
          </w:p>
          <w:p w:rsidR="00B67266" w:rsidRDefault="00B67266" w:rsidP="001E747E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C82586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TIMELINE: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tied to state application workgroup </w:t>
            </w:r>
          </w:p>
          <w:p w:rsidR="00B67266" w:rsidRDefault="00B67266" w:rsidP="001E747E">
            <w:pPr>
              <w:pStyle w:val="PlainText"/>
              <w:tabs>
                <w:tab w:val="left" w:pos="1440"/>
              </w:tabs>
              <w:rPr>
                <w:b/>
                <w:sz w:val="20"/>
                <w:szCs w:val="20"/>
              </w:rPr>
            </w:pPr>
          </w:p>
          <w:p w:rsidR="00B67266" w:rsidRDefault="00B67266" w:rsidP="001E747E">
            <w:pPr>
              <w:pStyle w:val="PlainText"/>
              <w:tabs>
                <w:tab w:val="left" w:pos="1440"/>
              </w:tabs>
              <w:rPr>
                <w:b/>
                <w:i/>
                <w:sz w:val="20"/>
                <w:szCs w:val="20"/>
              </w:rPr>
            </w:pPr>
          </w:p>
          <w:p w:rsidR="00B67266" w:rsidRDefault="00B67266" w:rsidP="001E747E">
            <w:pPr>
              <w:pStyle w:val="PlainText"/>
              <w:tabs>
                <w:tab w:val="left" w:pos="1440"/>
              </w:tabs>
              <w:rPr>
                <w:b/>
                <w:i/>
                <w:sz w:val="20"/>
                <w:szCs w:val="20"/>
              </w:rPr>
            </w:pPr>
          </w:p>
          <w:p w:rsidR="00B67266" w:rsidRPr="00C82586" w:rsidRDefault="00B67266" w:rsidP="003A17B7">
            <w:pPr>
              <w:pStyle w:val="PlainText"/>
              <w:numPr>
                <w:ilvl w:val="0"/>
                <w:numId w:val="29"/>
              </w:numPr>
              <w:tabs>
                <w:tab w:val="left" w:pos="1440"/>
              </w:tabs>
              <w:ind w:left="256" w:hanging="256"/>
              <w:rPr>
                <w:b/>
                <w:i/>
                <w:sz w:val="20"/>
                <w:szCs w:val="20"/>
              </w:rPr>
            </w:pPr>
            <w:r w:rsidRPr="00C82586">
              <w:rPr>
                <w:b/>
                <w:i/>
                <w:sz w:val="20"/>
                <w:szCs w:val="20"/>
              </w:rPr>
              <w:t>WSSSC Financial Aid, Admissions &amp; Registration Councils</w:t>
            </w:r>
            <w:r>
              <w:rPr>
                <w:b/>
                <w:i/>
                <w:sz w:val="20"/>
                <w:szCs w:val="20"/>
              </w:rPr>
              <w:t>, Guided Pathways workgroups</w:t>
            </w:r>
          </w:p>
          <w:p w:rsidR="00B67266" w:rsidRDefault="00B67266" w:rsidP="003A17B7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B67266" w:rsidRPr="003A17B7" w:rsidRDefault="00B67266" w:rsidP="003A17B7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TIMELINE:</w:t>
            </w:r>
          </w:p>
          <w:p w:rsidR="00B67266" w:rsidRPr="003A17B7" w:rsidRDefault="00B67266" w:rsidP="003A17B7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Work on specific areas/common barriers: next year (dependent on individual college status)</w:t>
            </w:r>
          </w:p>
          <w:p w:rsidR="00B67266" w:rsidRDefault="00B67266" w:rsidP="003A17B7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</w:p>
          <w:p w:rsidR="00B67266" w:rsidRPr="003A17B7" w:rsidRDefault="00B67266" w:rsidP="003A17B7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Statewide CRM contract discussion: </w:t>
            </w:r>
          </w:p>
          <w:p w:rsidR="00B67266" w:rsidRPr="00066928" w:rsidRDefault="00B67266" w:rsidP="003A17B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A17B7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next few years (ctcLink-dependent)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B6726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>
              <w:rPr>
                <w:b/>
                <w:i/>
                <w:sz w:val="20"/>
                <w:szCs w:val="20"/>
              </w:rPr>
              <w:t xml:space="preserve"> financial aid applications processed during a year</w:t>
            </w:r>
          </w:p>
          <w:p w:rsidR="00B6726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Financial aid application processing times</w:t>
            </w:r>
          </w:p>
          <w:p w:rsidR="00B6726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Transcript evaluation processing times</w:t>
            </w:r>
          </w:p>
          <w:p w:rsidR="00B67266" w:rsidRPr="007E2E17" w:rsidRDefault="00B67266" w:rsidP="007E2E1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Disaggregated metrics for underserved student groups</w:t>
            </w:r>
          </w:p>
        </w:tc>
        <w:tc>
          <w:tcPr>
            <w:tcW w:w="2790" w:type="dxa"/>
            <w:shd w:val="clear" w:color="auto" w:fill="FFFD91"/>
          </w:tcPr>
          <w:p w:rsidR="00B67266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  <w:tr w:rsidR="00B67266" w:rsidRPr="00066928" w:rsidTr="00B67266">
        <w:trPr>
          <w:trHeight w:val="890"/>
        </w:trPr>
        <w:tc>
          <w:tcPr>
            <w:tcW w:w="1440" w:type="dxa"/>
            <w:tcBorders>
              <w:top w:val="nil"/>
              <w:bottom w:val="nil"/>
            </w:tcBorders>
          </w:tcPr>
          <w:p w:rsidR="00B67266" w:rsidRPr="00066928" w:rsidRDefault="00B67266" w:rsidP="001E747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67266" w:rsidRPr="0095792C" w:rsidRDefault="00B67266" w:rsidP="001E747E">
            <w:pPr>
              <w:ind w:left="250" w:hanging="250"/>
              <w:rPr>
                <w:b/>
                <w:color w:val="7030A0"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 xml:space="preserve">3.2   </w:t>
            </w:r>
            <w:r w:rsidRPr="0095792C">
              <w:rPr>
                <w:b/>
                <w:color w:val="7030A0"/>
                <w:sz w:val="20"/>
                <w:szCs w:val="20"/>
              </w:rPr>
              <w:t xml:space="preserve">Increase the number of who successfully complete the first 15 college level credits with an emphasis on </w:t>
            </w:r>
            <w:r>
              <w:rPr>
                <w:b/>
                <w:color w:val="7030A0"/>
                <w:sz w:val="20"/>
                <w:szCs w:val="20"/>
              </w:rPr>
              <w:t>eliminating</w:t>
            </w:r>
            <w:r w:rsidRPr="0095792C">
              <w:rPr>
                <w:b/>
                <w:color w:val="7030A0"/>
                <w:sz w:val="20"/>
                <w:szCs w:val="20"/>
              </w:rPr>
              <w:t xml:space="preserve"> the equity gap.</w:t>
            </w:r>
          </w:p>
          <w:p w:rsidR="00B67266" w:rsidRPr="0095792C" w:rsidRDefault="00B67266" w:rsidP="001E747E">
            <w:pPr>
              <w:ind w:left="250" w:hanging="360"/>
              <w:rPr>
                <w:b/>
                <w:color w:val="7030A0"/>
                <w:sz w:val="20"/>
                <w:szCs w:val="20"/>
              </w:rPr>
            </w:pPr>
          </w:p>
          <w:p w:rsidR="00B67266" w:rsidRPr="00066928" w:rsidRDefault="00B67266" w:rsidP="001E747E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B67266" w:rsidRPr="00C72D8C" w:rsidRDefault="00B67266" w:rsidP="001E747E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/>
                <w:i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 xml:space="preserve">Personalize the support team for each student and ensure the team makes a connection within the first quarter as appropriate, with just-in-time information (e.g. choose your pathway, funding, support programs) </w:t>
            </w:r>
          </w:p>
          <w:p w:rsidR="00B67266" w:rsidRPr="005F1172" w:rsidRDefault="00B67266" w:rsidP="001E747E">
            <w:pPr>
              <w:pStyle w:val="ListParagraph"/>
              <w:ind w:left="346" w:hanging="270"/>
              <w:rPr>
                <w:b/>
                <w:i/>
                <w:sz w:val="20"/>
                <w:szCs w:val="20"/>
              </w:rPr>
            </w:pPr>
          </w:p>
          <w:p w:rsidR="00B67266" w:rsidRPr="001A2A6D" w:rsidRDefault="00B67266" w:rsidP="001E747E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Integrate contextualized learning outcomes and student support messaging into first quarter or “gateway” (high enrollment/low completion) courses.</w:t>
            </w:r>
          </w:p>
          <w:p w:rsidR="00B67266" w:rsidRPr="00066928" w:rsidRDefault="00B67266" w:rsidP="001E747E">
            <w:pPr>
              <w:rPr>
                <w:b/>
                <w:i/>
                <w:sz w:val="20"/>
                <w:szCs w:val="20"/>
              </w:rPr>
            </w:pPr>
            <w:r w:rsidRPr="0006692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B67266" w:rsidRDefault="00B67266" w:rsidP="00582C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 and d)</w:t>
            </w:r>
          </w:p>
          <w:p w:rsidR="00B67266" w:rsidRPr="00582CE6" w:rsidRDefault="00B67266" w:rsidP="00582CE6">
            <w:pPr>
              <w:ind w:left="166"/>
              <w:rPr>
                <w:b/>
                <w:i/>
                <w:sz w:val="20"/>
                <w:szCs w:val="20"/>
              </w:rPr>
            </w:pPr>
            <w:r w:rsidRPr="00582CE6">
              <w:rPr>
                <w:b/>
                <w:i/>
                <w:sz w:val="20"/>
                <w:szCs w:val="20"/>
              </w:rPr>
              <w:t>WA Student Services Commission (WSSSC), Instruction Commission (i.e. Guided Pathways leadership)</w:t>
            </w:r>
          </w:p>
          <w:p w:rsidR="00B67266" w:rsidRDefault="00B67266" w:rsidP="00582CE6">
            <w:pPr>
              <w:rPr>
                <w:b/>
                <w:sz w:val="20"/>
                <w:szCs w:val="20"/>
              </w:rPr>
            </w:pPr>
          </w:p>
          <w:p w:rsidR="00B67266" w:rsidRDefault="00B67266" w:rsidP="00582CE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C82586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TIMELINE: </w:t>
            </w:r>
            <w:r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dependent on individual college status; </w:t>
            </w:r>
            <w:r w:rsidRPr="00C82586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2018-2019</w:t>
            </w:r>
          </w:p>
          <w:p w:rsidR="00B67266" w:rsidRPr="00066928" w:rsidRDefault="00B67266" w:rsidP="00582CE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B67266" w:rsidRDefault="00B67266" w:rsidP="007E2E1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A80839">
              <w:rPr>
                <w:b/>
                <w:i/>
                <w:sz w:val="20"/>
                <w:szCs w:val="20"/>
              </w:rPr>
              <w:t xml:space="preserve">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 w:rsidRPr="00A808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award-seeking students who earn 15 college level credits</w:t>
            </w:r>
          </w:p>
          <w:p w:rsidR="00B67266" w:rsidRDefault="00B67266" w:rsidP="007E2E1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>
              <w:rPr>
                <w:b/>
                <w:i/>
                <w:sz w:val="20"/>
                <w:szCs w:val="20"/>
              </w:rPr>
              <w:t xml:space="preserve"> award-seeking students still enrolled after one quarter and after two quarters</w:t>
            </w:r>
          </w:p>
          <w:p w:rsidR="00B67266" w:rsidRPr="00C82586" w:rsidRDefault="00B67266" w:rsidP="007E2E1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Disaggregated metrics for underserved student groups</w:t>
            </w:r>
          </w:p>
        </w:tc>
        <w:tc>
          <w:tcPr>
            <w:tcW w:w="2790" w:type="dxa"/>
            <w:shd w:val="clear" w:color="auto" w:fill="FFFD91"/>
          </w:tcPr>
          <w:p w:rsidR="00B67266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  <w:tr w:rsidR="00B67266" w:rsidRPr="00066928" w:rsidTr="00B67266">
        <w:trPr>
          <w:trHeight w:val="2285"/>
        </w:trPr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B67266" w:rsidRPr="00066928" w:rsidRDefault="00B67266" w:rsidP="000C110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67266" w:rsidRPr="0095792C" w:rsidRDefault="00B67266" w:rsidP="00582CE6">
            <w:pPr>
              <w:ind w:left="250" w:hanging="250"/>
              <w:rPr>
                <w:b/>
                <w:color w:val="7030A0"/>
                <w:sz w:val="20"/>
                <w:szCs w:val="20"/>
              </w:rPr>
            </w:pPr>
            <w:r w:rsidRPr="0095792C">
              <w:rPr>
                <w:b/>
                <w:color w:val="7030A0"/>
                <w:sz w:val="20"/>
                <w:szCs w:val="20"/>
              </w:rPr>
              <w:t xml:space="preserve"> 3.3 Increase the number of basic education students who transition to college level courses with an emphasis on </w:t>
            </w:r>
            <w:r>
              <w:rPr>
                <w:b/>
                <w:color w:val="7030A0"/>
                <w:sz w:val="20"/>
                <w:szCs w:val="20"/>
              </w:rPr>
              <w:t>eliminating</w:t>
            </w:r>
            <w:r w:rsidRPr="0095792C">
              <w:rPr>
                <w:b/>
                <w:color w:val="7030A0"/>
                <w:sz w:val="20"/>
                <w:szCs w:val="20"/>
              </w:rPr>
              <w:t xml:space="preserve"> the equity gap</w:t>
            </w:r>
            <w:r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FDE9D9" w:themeFill="accent6" w:themeFillTint="33"/>
          </w:tcPr>
          <w:p w:rsidR="00B67266" w:rsidRPr="00C72D8C" w:rsidRDefault="00B67266" w:rsidP="000C1109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i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>Address transition barriers with additional I-BEST programs</w:t>
            </w:r>
            <w:r>
              <w:rPr>
                <w:b/>
                <w:sz w:val="20"/>
                <w:szCs w:val="20"/>
              </w:rPr>
              <w:t>,</w:t>
            </w:r>
            <w:r w:rsidRPr="00066928">
              <w:rPr>
                <w:i/>
                <w:sz w:val="20"/>
                <w:szCs w:val="20"/>
              </w:rPr>
              <w:t xml:space="preserve"> </w:t>
            </w:r>
            <w:r w:rsidRPr="00066928">
              <w:rPr>
                <w:b/>
                <w:sz w:val="20"/>
                <w:szCs w:val="20"/>
              </w:rPr>
              <w:t>financial aid</w:t>
            </w:r>
            <w:r>
              <w:rPr>
                <w:b/>
                <w:sz w:val="20"/>
                <w:szCs w:val="20"/>
              </w:rPr>
              <w:t xml:space="preserve"> (ability to benefit),</w:t>
            </w:r>
            <w:r w:rsidRPr="00066928">
              <w:rPr>
                <w:b/>
                <w:sz w:val="20"/>
                <w:szCs w:val="20"/>
              </w:rPr>
              <w:t xml:space="preserve"> Guided pathways and basic skills integration</w:t>
            </w:r>
            <w:r>
              <w:rPr>
                <w:b/>
                <w:sz w:val="20"/>
                <w:szCs w:val="20"/>
              </w:rPr>
              <w:t>.</w:t>
            </w:r>
          </w:p>
          <w:p w:rsidR="00B67266" w:rsidRDefault="00B67266" w:rsidP="000C1109">
            <w:pPr>
              <w:pStyle w:val="ListParagraph"/>
              <w:ind w:left="256" w:hanging="256"/>
              <w:rPr>
                <w:i/>
                <w:sz w:val="20"/>
                <w:szCs w:val="20"/>
              </w:rPr>
            </w:pPr>
            <w:r w:rsidRPr="00066928">
              <w:rPr>
                <w:i/>
                <w:sz w:val="20"/>
                <w:szCs w:val="20"/>
              </w:rPr>
              <w:t xml:space="preserve"> </w:t>
            </w:r>
          </w:p>
          <w:p w:rsidR="00B67266" w:rsidRPr="00066928" w:rsidRDefault="00B67266" w:rsidP="000C1109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customized orientation for basic education (BEdA) transition students.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B67266" w:rsidRDefault="00B67266" w:rsidP="00582C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 and f)</w:t>
            </w:r>
          </w:p>
          <w:p w:rsidR="00B67266" w:rsidRDefault="00B67266" w:rsidP="000C1109">
            <w:pPr>
              <w:rPr>
                <w:b/>
                <w:i/>
                <w:sz w:val="20"/>
                <w:szCs w:val="20"/>
              </w:rPr>
            </w:pPr>
            <w:r w:rsidRPr="00C82586">
              <w:rPr>
                <w:b/>
                <w:i/>
                <w:sz w:val="20"/>
                <w:szCs w:val="20"/>
              </w:rPr>
              <w:t>Council for Basic Skills (CBS)</w:t>
            </w:r>
            <w:r>
              <w:rPr>
                <w:b/>
                <w:i/>
                <w:sz w:val="20"/>
                <w:szCs w:val="20"/>
              </w:rPr>
              <w:t>, ATC, IC, WEC</w:t>
            </w:r>
          </w:p>
          <w:p w:rsidR="00B67266" w:rsidRDefault="00B67266" w:rsidP="000C1109">
            <w:pPr>
              <w:rPr>
                <w:b/>
                <w:i/>
                <w:sz w:val="20"/>
                <w:szCs w:val="20"/>
              </w:rPr>
            </w:pPr>
          </w:p>
          <w:p w:rsidR="00B67266" w:rsidRPr="00582CE6" w:rsidRDefault="00B67266" w:rsidP="00582CE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582CE6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 xml:space="preserve">TIMELINE: </w:t>
            </w:r>
          </w:p>
          <w:p w:rsidR="00B67266" w:rsidRPr="00582CE6" w:rsidRDefault="00B67266" w:rsidP="00582CE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582CE6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Orientation by Winter 2019</w:t>
            </w:r>
          </w:p>
          <w:p w:rsidR="00B67266" w:rsidRPr="00582CE6" w:rsidRDefault="00B67266" w:rsidP="00582CE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582CE6">
              <w:rPr>
                <w:rFonts w:ascii="Calibri" w:eastAsia="Calibri" w:hAnsi="Calibri" w:cs="Calibri"/>
                <w:b/>
                <w:color w:val="4F6228" w:themeColor="accent3" w:themeShade="80"/>
                <w:sz w:val="20"/>
                <w:szCs w:val="20"/>
              </w:rPr>
              <w:t>I-BEST, financial aid, GP integration by Fall 2019</w:t>
            </w:r>
          </w:p>
          <w:p w:rsidR="00B67266" w:rsidRDefault="00B67266" w:rsidP="000C1109">
            <w:pPr>
              <w:rPr>
                <w:i/>
                <w:color w:val="FF0000"/>
                <w:sz w:val="20"/>
                <w:szCs w:val="20"/>
              </w:rPr>
            </w:pPr>
          </w:p>
          <w:p w:rsidR="00B67266" w:rsidRPr="00C82586" w:rsidRDefault="00B67266" w:rsidP="000C1109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B6726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A80839">
              <w:rPr>
                <w:b/>
                <w:i/>
                <w:sz w:val="20"/>
                <w:szCs w:val="20"/>
              </w:rPr>
              <w:t xml:space="preserve">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 w:rsidRPr="00A808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basic education students transitioning to college level courses </w:t>
            </w:r>
          </w:p>
          <w:p w:rsidR="00B67266" w:rsidRPr="00C8258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Disaggregated metrics for underserved student groups</w:t>
            </w:r>
          </w:p>
        </w:tc>
        <w:tc>
          <w:tcPr>
            <w:tcW w:w="2790" w:type="dxa"/>
            <w:shd w:val="clear" w:color="auto" w:fill="FFFD91"/>
          </w:tcPr>
          <w:p w:rsidR="00B67266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  <w:tr w:rsidR="00B67266" w:rsidRPr="00066928" w:rsidTr="00B67266">
        <w:tc>
          <w:tcPr>
            <w:tcW w:w="1440" w:type="dxa"/>
            <w:tcBorders>
              <w:bottom w:val="nil"/>
            </w:tcBorders>
          </w:tcPr>
          <w:p w:rsidR="00B67266" w:rsidRPr="00066928" w:rsidRDefault="00B67266" w:rsidP="000C1109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066928">
              <w:rPr>
                <w:b/>
                <w:sz w:val="20"/>
                <w:szCs w:val="20"/>
              </w:rPr>
              <w:t>4.Retention/Persistence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B67266" w:rsidRPr="0095792C" w:rsidRDefault="00B67266" w:rsidP="000C1109">
            <w:pPr>
              <w:ind w:left="340" w:hanging="340"/>
              <w:rPr>
                <w:b/>
                <w:color w:val="7030A0"/>
                <w:sz w:val="20"/>
                <w:szCs w:val="20"/>
              </w:rPr>
            </w:pPr>
            <w:r w:rsidRPr="0095792C">
              <w:rPr>
                <w:b/>
                <w:color w:val="7030A0"/>
                <w:sz w:val="20"/>
                <w:szCs w:val="20"/>
              </w:rPr>
              <w:t xml:space="preserve">4.1 Increase the number of students who successfully complete the first 30 college level credits with an emphasis on </w:t>
            </w:r>
            <w:r>
              <w:rPr>
                <w:b/>
                <w:color w:val="7030A0"/>
                <w:sz w:val="20"/>
                <w:szCs w:val="20"/>
              </w:rPr>
              <w:t>eliminating</w:t>
            </w:r>
            <w:r w:rsidRPr="0095792C">
              <w:rPr>
                <w:b/>
                <w:color w:val="7030A0"/>
                <w:sz w:val="20"/>
                <w:szCs w:val="20"/>
              </w:rPr>
              <w:t xml:space="preserve"> the equity gap</w:t>
            </w:r>
            <w:r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shd w:val="clear" w:color="auto" w:fill="FDE9D9" w:themeFill="accent6" w:themeFillTint="33"/>
          </w:tcPr>
          <w:p w:rsidR="00B67266" w:rsidRPr="0095792C" w:rsidRDefault="00B67266" w:rsidP="0095792C">
            <w:pPr>
              <w:pStyle w:val="PlainText"/>
              <w:numPr>
                <w:ilvl w:val="0"/>
                <w:numId w:val="6"/>
              </w:numPr>
              <w:tabs>
                <w:tab w:val="left" w:pos="1440"/>
              </w:tabs>
              <w:ind w:left="256" w:hanging="284"/>
              <w:rPr>
                <w:b/>
                <w:sz w:val="20"/>
                <w:szCs w:val="20"/>
              </w:rPr>
            </w:pPr>
            <w:r w:rsidRPr="0095792C">
              <w:rPr>
                <w:b/>
                <w:sz w:val="20"/>
                <w:szCs w:val="20"/>
              </w:rPr>
              <w:t xml:space="preserve">Introduce positive one-on-one student support strategies that are culturally relevant (e.g. individual student meetings with faculty; </w:t>
            </w:r>
            <w:r>
              <w:rPr>
                <w:b/>
                <w:sz w:val="20"/>
                <w:szCs w:val="20"/>
              </w:rPr>
              <w:t xml:space="preserve">inclusive pedagogy; </w:t>
            </w:r>
            <w:r w:rsidRPr="0095792C">
              <w:rPr>
                <w:b/>
                <w:sz w:val="20"/>
                <w:szCs w:val="20"/>
              </w:rPr>
              <w:t>learning all students’ names; in-class calendaring/time management assignment; student services initial contact; faculty mentorship) to create a sense of belonging for students. (Objectives 4.1, 4.2)</w:t>
            </w:r>
          </w:p>
          <w:p w:rsidR="00B67266" w:rsidRPr="00C72D8C" w:rsidRDefault="00B67266" w:rsidP="000C1109">
            <w:pPr>
              <w:pStyle w:val="PlainText"/>
              <w:tabs>
                <w:tab w:val="left" w:pos="1440"/>
              </w:tabs>
              <w:rPr>
                <w:b/>
                <w:sz w:val="20"/>
                <w:szCs w:val="20"/>
              </w:rPr>
            </w:pPr>
          </w:p>
          <w:p w:rsidR="00B67266" w:rsidRDefault="00B67266" w:rsidP="000C1109">
            <w:pPr>
              <w:pStyle w:val="PlainText"/>
              <w:numPr>
                <w:ilvl w:val="0"/>
                <w:numId w:val="10"/>
              </w:num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2D8C">
              <w:rPr>
                <w:b/>
                <w:sz w:val="20"/>
                <w:szCs w:val="20"/>
              </w:rPr>
              <w:t>Provide list of current students not yet enrolled for the next quarter so faculty can remind/intervene students to enroll, go to advising, etc.</w:t>
            </w:r>
          </w:p>
          <w:p w:rsidR="00B67266" w:rsidRPr="0080257B" w:rsidRDefault="00B67266" w:rsidP="000C1109">
            <w:pPr>
              <w:pStyle w:val="PlainText"/>
              <w:numPr>
                <w:ilvl w:val="0"/>
                <w:numId w:val="10"/>
              </w:num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1A2A6D">
              <w:rPr>
                <w:b/>
                <w:sz w:val="20"/>
                <w:szCs w:val="20"/>
              </w:rPr>
              <w:t>Provide statewide professional development (from SBCTC) on intercultural competency.</w:t>
            </w:r>
          </w:p>
          <w:p w:rsidR="00B67266" w:rsidRDefault="00B67266" w:rsidP="000C1109">
            <w:pPr>
              <w:pStyle w:val="PlainText"/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B67266" w:rsidRDefault="00B67266" w:rsidP="000C1109">
            <w:pPr>
              <w:pStyle w:val="PlainText"/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B67266" w:rsidRDefault="00B67266" w:rsidP="000C1109">
            <w:pPr>
              <w:pStyle w:val="PlainText"/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B67266" w:rsidRDefault="00B67266" w:rsidP="000C1109">
            <w:pPr>
              <w:pStyle w:val="PlainText"/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B67266" w:rsidRDefault="00B67266" w:rsidP="000C1109">
            <w:pPr>
              <w:pStyle w:val="PlainText"/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697E59" w:rsidRDefault="00697E59" w:rsidP="000C1109">
            <w:pPr>
              <w:pStyle w:val="PlainText"/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697E59" w:rsidRDefault="00697E59" w:rsidP="000C1109">
            <w:pPr>
              <w:pStyle w:val="PlainText"/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697E59" w:rsidRDefault="00697E59" w:rsidP="000C1109">
            <w:pPr>
              <w:pStyle w:val="PlainText"/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697E59" w:rsidRDefault="00697E59" w:rsidP="000C1109">
            <w:pPr>
              <w:pStyle w:val="PlainText"/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B67266" w:rsidRPr="0095792C" w:rsidRDefault="00B67266" w:rsidP="0095792C">
            <w:pPr>
              <w:pStyle w:val="PlainText"/>
              <w:numPr>
                <w:ilvl w:val="0"/>
                <w:numId w:val="6"/>
              </w:numPr>
              <w:tabs>
                <w:tab w:val="left" w:pos="1440"/>
              </w:tabs>
              <w:ind w:left="256" w:hanging="284"/>
              <w:rPr>
                <w:b/>
                <w:sz w:val="20"/>
                <w:szCs w:val="20"/>
              </w:rPr>
            </w:pPr>
            <w:r w:rsidRPr="0095792C">
              <w:rPr>
                <w:b/>
                <w:sz w:val="20"/>
                <w:szCs w:val="20"/>
              </w:rPr>
              <w:t>Consistent with guided pathways transformation, choose course sequences and course combinations for each degree and certificate program to maximize student success and student learning.  Wrap-around advising and targeted supports that are culturally relevant, specific to the courses, are provided to students in challenging course combinations.</w:t>
            </w:r>
          </w:p>
          <w:p w:rsidR="00B67266" w:rsidRPr="00DA6937" w:rsidRDefault="00B67266" w:rsidP="0095792C">
            <w:pPr>
              <w:pStyle w:val="PlainText"/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B67266" w:rsidRPr="0095792C" w:rsidRDefault="00B67266" w:rsidP="0095792C">
            <w:pPr>
              <w:pStyle w:val="PlainText"/>
              <w:numPr>
                <w:ilvl w:val="0"/>
                <w:numId w:val="6"/>
              </w:numPr>
              <w:tabs>
                <w:tab w:val="left" w:pos="1440"/>
              </w:tabs>
              <w:ind w:left="256" w:hanging="374"/>
              <w:rPr>
                <w:rFonts w:eastAsia="Calibri"/>
                <w:b/>
                <w:szCs w:val="22"/>
              </w:rPr>
            </w:pPr>
            <w:r w:rsidRPr="00C72D8C">
              <w:rPr>
                <w:b/>
                <w:sz w:val="20"/>
                <w:szCs w:val="20"/>
              </w:rPr>
              <w:t>Gathering and sharing best practices to support for Accelerated, Stretch, and Pace models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792C">
              <w:rPr>
                <w:rFonts w:eastAsia="Calibri"/>
                <w:b/>
                <w:szCs w:val="22"/>
              </w:rPr>
              <w:t>that result in equitable outcomes. This can include contextualization of math and English and math pathways curriculum at all levels.  (Objectives 4.1, 4.2, 4.3, 4.4)</w:t>
            </w:r>
          </w:p>
          <w:p w:rsidR="00B67266" w:rsidRPr="009B23C3" w:rsidRDefault="00B67266" w:rsidP="000C11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shd w:val="clear" w:color="auto" w:fill="FDE9D9" w:themeFill="accent6" w:themeFillTint="33"/>
          </w:tcPr>
          <w:p w:rsidR="00B67266" w:rsidRPr="00697E59" w:rsidRDefault="00B67266" w:rsidP="000121A7">
            <w:pPr>
              <w:rPr>
                <w:b/>
                <w:sz w:val="20"/>
                <w:szCs w:val="20"/>
              </w:rPr>
            </w:pPr>
            <w:r w:rsidRPr="00697E59">
              <w:rPr>
                <w:b/>
                <w:sz w:val="20"/>
                <w:szCs w:val="20"/>
              </w:rPr>
              <w:t>a, b, and c)</w:t>
            </w:r>
          </w:p>
          <w:p w:rsidR="00B67266" w:rsidRPr="0095792C" w:rsidRDefault="00B67266" w:rsidP="00896B20">
            <w:pPr>
              <w:pStyle w:val="PlainText"/>
              <w:numPr>
                <w:ilvl w:val="0"/>
                <w:numId w:val="5"/>
              </w:numPr>
              <w:tabs>
                <w:tab w:val="left" w:pos="1440"/>
              </w:tabs>
              <w:ind w:left="346" w:hanging="27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Student Services Commission (WSSSC)</w:t>
            </w:r>
          </w:p>
          <w:p w:rsidR="00B67266" w:rsidRPr="0095792C" w:rsidRDefault="00B67266" w:rsidP="00896B20">
            <w:pPr>
              <w:pStyle w:val="PlainText"/>
              <w:numPr>
                <w:ilvl w:val="0"/>
                <w:numId w:val="5"/>
              </w:numPr>
              <w:tabs>
                <w:tab w:val="left" w:pos="1440"/>
              </w:tabs>
              <w:ind w:left="346" w:hanging="27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Advising and Counseling Counsel (ACC)</w:t>
            </w:r>
          </w:p>
          <w:p w:rsidR="00B67266" w:rsidRPr="00C82586" w:rsidRDefault="00B67266" w:rsidP="000C1109">
            <w:pPr>
              <w:pStyle w:val="PlainText"/>
              <w:numPr>
                <w:ilvl w:val="0"/>
                <w:numId w:val="5"/>
              </w:numPr>
              <w:tabs>
                <w:tab w:val="left" w:pos="1440"/>
              </w:tabs>
              <w:ind w:left="346" w:hanging="270"/>
              <w:rPr>
                <w:b/>
                <w:i/>
                <w:sz w:val="20"/>
                <w:szCs w:val="20"/>
              </w:rPr>
            </w:pPr>
            <w:r w:rsidRPr="00C82586">
              <w:rPr>
                <w:b/>
                <w:i/>
                <w:sz w:val="20"/>
                <w:szCs w:val="20"/>
              </w:rPr>
              <w:t>Instruction Commission</w:t>
            </w:r>
          </w:p>
          <w:p w:rsidR="00B67266" w:rsidRPr="00C82586" w:rsidRDefault="00B67266" w:rsidP="000C1109">
            <w:pPr>
              <w:pStyle w:val="PlainText"/>
              <w:numPr>
                <w:ilvl w:val="0"/>
                <w:numId w:val="5"/>
              </w:numPr>
              <w:tabs>
                <w:tab w:val="left" w:pos="1440"/>
              </w:tabs>
              <w:ind w:left="346" w:hanging="270"/>
              <w:rPr>
                <w:b/>
                <w:i/>
                <w:sz w:val="20"/>
                <w:szCs w:val="20"/>
              </w:rPr>
            </w:pPr>
            <w:r w:rsidRPr="00C82586">
              <w:rPr>
                <w:b/>
                <w:i/>
                <w:sz w:val="20"/>
                <w:szCs w:val="20"/>
              </w:rPr>
              <w:t>Articulation and Transfer Council</w:t>
            </w:r>
          </w:p>
          <w:p w:rsidR="00B67266" w:rsidRPr="00C82586" w:rsidRDefault="00B67266" w:rsidP="000C1109">
            <w:pPr>
              <w:pStyle w:val="PlainText"/>
              <w:numPr>
                <w:ilvl w:val="0"/>
                <w:numId w:val="5"/>
              </w:numPr>
              <w:tabs>
                <w:tab w:val="left" w:pos="1440"/>
              </w:tabs>
              <w:ind w:left="346" w:hanging="270"/>
              <w:rPr>
                <w:b/>
                <w:i/>
                <w:sz w:val="20"/>
                <w:szCs w:val="20"/>
              </w:rPr>
            </w:pPr>
            <w:r w:rsidRPr="00C82586">
              <w:rPr>
                <w:b/>
                <w:i/>
                <w:sz w:val="20"/>
                <w:szCs w:val="20"/>
              </w:rPr>
              <w:t>FACTC</w:t>
            </w:r>
          </w:p>
          <w:p w:rsidR="00B67266" w:rsidRDefault="00B67266" w:rsidP="000C1109">
            <w:pPr>
              <w:pStyle w:val="PlainText"/>
              <w:numPr>
                <w:ilvl w:val="0"/>
                <w:numId w:val="5"/>
              </w:numPr>
              <w:tabs>
                <w:tab w:val="left" w:pos="1440"/>
              </w:tabs>
              <w:ind w:left="346" w:hanging="270"/>
              <w:rPr>
                <w:b/>
                <w:i/>
                <w:sz w:val="20"/>
                <w:szCs w:val="20"/>
              </w:rPr>
            </w:pPr>
            <w:r w:rsidRPr="00C82586">
              <w:rPr>
                <w:b/>
                <w:i/>
                <w:sz w:val="20"/>
                <w:szCs w:val="20"/>
              </w:rPr>
              <w:t>State Board</w:t>
            </w:r>
            <w:r>
              <w:rPr>
                <w:b/>
                <w:i/>
                <w:sz w:val="20"/>
                <w:szCs w:val="20"/>
              </w:rPr>
              <w:t xml:space="preserve"> - Policy</w:t>
            </w:r>
          </w:p>
          <w:p w:rsidR="00B67266" w:rsidRDefault="00B67266" w:rsidP="000C1109">
            <w:pPr>
              <w:pStyle w:val="PlainText"/>
              <w:numPr>
                <w:ilvl w:val="0"/>
                <w:numId w:val="5"/>
              </w:numPr>
              <w:tabs>
                <w:tab w:val="left" w:pos="1440"/>
              </w:tabs>
              <w:ind w:left="346" w:hanging="27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Statewide Guided Pathways group</w:t>
            </w:r>
          </w:p>
          <w:p w:rsidR="00B67266" w:rsidRDefault="00B67266" w:rsidP="000C1109">
            <w:pPr>
              <w:pStyle w:val="PlainText"/>
              <w:numPr>
                <w:ilvl w:val="0"/>
                <w:numId w:val="5"/>
              </w:numPr>
              <w:tabs>
                <w:tab w:val="left" w:pos="1440"/>
              </w:tabs>
              <w:ind w:left="346" w:hanging="27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WACTC</w:t>
            </w:r>
          </w:p>
          <w:p w:rsidR="00B67266" w:rsidRPr="00C82586" w:rsidRDefault="00B67266" w:rsidP="000C1109">
            <w:pPr>
              <w:pStyle w:val="PlainText"/>
              <w:numPr>
                <w:ilvl w:val="0"/>
                <w:numId w:val="5"/>
              </w:numPr>
              <w:tabs>
                <w:tab w:val="left" w:pos="1440"/>
              </w:tabs>
              <w:ind w:left="346" w:hanging="27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Assessment, Teaching and Learning</w:t>
            </w:r>
          </w:p>
          <w:p w:rsidR="00B67266" w:rsidRPr="00C82586" w:rsidRDefault="00B67266" w:rsidP="000C1109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C82586">
              <w:rPr>
                <w:b/>
                <w:color w:val="4F6228" w:themeColor="accent3" w:themeShade="80"/>
                <w:sz w:val="20"/>
                <w:szCs w:val="20"/>
              </w:rPr>
              <w:t>TIMELINE</w:t>
            </w: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 for Strategy a</w:t>
            </w:r>
            <w:r w:rsidRPr="00C82586">
              <w:rPr>
                <w:b/>
                <w:color w:val="4F6228" w:themeColor="accent3" w:themeShade="80"/>
                <w:sz w:val="20"/>
                <w:szCs w:val="20"/>
              </w:rPr>
              <w:t>:</w:t>
            </w:r>
          </w:p>
          <w:p w:rsidR="00B67266" w:rsidRDefault="00B67266" w:rsidP="000C1109">
            <w:pPr>
              <w:pStyle w:val="PlainText"/>
              <w:numPr>
                <w:ilvl w:val="0"/>
                <w:numId w:val="7"/>
              </w:numPr>
              <w:tabs>
                <w:tab w:val="left" w:pos="1440"/>
              </w:tabs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September</w:t>
            </w:r>
          </w:p>
          <w:p w:rsidR="00B67266" w:rsidRPr="00C82586" w:rsidRDefault="00B67266" w:rsidP="000C1109">
            <w:pPr>
              <w:pStyle w:val="PlainText"/>
              <w:numPr>
                <w:ilvl w:val="1"/>
                <w:numId w:val="7"/>
              </w:numPr>
              <w:tabs>
                <w:tab w:val="left" w:pos="1440"/>
              </w:tabs>
              <w:ind w:left="434" w:hanging="270"/>
              <w:rPr>
                <w:b/>
                <w:color w:val="4F6228" w:themeColor="accent3" w:themeShade="80"/>
                <w:sz w:val="20"/>
                <w:szCs w:val="20"/>
              </w:rPr>
            </w:pPr>
            <w:r w:rsidRPr="00C82586">
              <w:rPr>
                <w:b/>
                <w:color w:val="4F6228" w:themeColor="accent3" w:themeShade="80"/>
                <w:sz w:val="20"/>
                <w:szCs w:val="20"/>
              </w:rPr>
              <w:t>Talk to Oakton with list of questions. Can someone from Oakton provide professional development to any and all faculty and staff?</w:t>
            </w:r>
          </w:p>
          <w:p w:rsidR="00B67266" w:rsidRDefault="00B67266" w:rsidP="000C1109">
            <w:pPr>
              <w:pStyle w:val="ListParagraph"/>
              <w:numPr>
                <w:ilvl w:val="1"/>
                <w:numId w:val="7"/>
              </w:numPr>
              <w:ind w:left="434" w:hanging="270"/>
              <w:rPr>
                <w:b/>
                <w:color w:val="4F6228" w:themeColor="accent3" w:themeShade="80"/>
                <w:sz w:val="20"/>
                <w:szCs w:val="20"/>
              </w:rPr>
            </w:pPr>
            <w:r w:rsidRPr="00DA6937">
              <w:rPr>
                <w:b/>
                <w:color w:val="4F6228" w:themeColor="accent3" w:themeShade="80"/>
                <w:sz w:val="20"/>
                <w:szCs w:val="20"/>
              </w:rPr>
              <w:t xml:space="preserve">Talk to </w:t>
            </w: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Lake Washington </w:t>
            </w:r>
            <w:r w:rsidRPr="00DA6937">
              <w:rPr>
                <w:b/>
                <w:color w:val="4F6228" w:themeColor="accent3" w:themeShade="80"/>
                <w:sz w:val="20"/>
                <w:szCs w:val="20"/>
              </w:rPr>
              <w:t xml:space="preserve">with list of questions. Can someone from </w:t>
            </w: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Lake Washington </w:t>
            </w:r>
            <w:r w:rsidRPr="00DA6937">
              <w:rPr>
                <w:b/>
                <w:color w:val="4F6228" w:themeColor="accent3" w:themeShade="80"/>
                <w:sz w:val="20"/>
                <w:szCs w:val="20"/>
              </w:rPr>
              <w:t>provide professional development to any and all faculty and staff?</w:t>
            </w:r>
          </w:p>
          <w:p w:rsidR="00B67266" w:rsidRPr="001A619E" w:rsidRDefault="00B67266" w:rsidP="000C1109">
            <w:pPr>
              <w:pStyle w:val="ListParagraph"/>
              <w:numPr>
                <w:ilvl w:val="0"/>
                <w:numId w:val="7"/>
              </w:numPr>
              <w:rPr>
                <w:b/>
                <w:color w:val="4F6228" w:themeColor="accent3" w:themeShade="80"/>
                <w:sz w:val="20"/>
                <w:szCs w:val="20"/>
              </w:rPr>
            </w:pPr>
            <w:r w:rsidRPr="001A619E">
              <w:rPr>
                <w:b/>
                <w:color w:val="4F6228" w:themeColor="accent3" w:themeShade="80"/>
                <w:sz w:val="20"/>
                <w:szCs w:val="20"/>
              </w:rPr>
              <w:t>October - Survey system to determine if colleges are already engaging in strategies similar (or other one-on-one) models. Also include questions related to if colleges are not involved in such strategies.</w:t>
            </w:r>
          </w:p>
          <w:p w:rsidR="00B67266" w:rsidRDefault="00B67266" w:rsidP="000C1109">
            <w:pPr>
              <w:rPr>
                <w:b/>
                <w:sz w:val="20"/>
                <w:szCs w:val="20"/>
              </w:rPr>
            </w:pPr>
          </w:p>
          <w:p w:rsidR="00697E59" w:rsidRPr="00C72D8C" w:rsidRDefault="00697E59" w:rsidP="000C1109">
            <w:pPr>
              <w:rPr>
                <w:b/>
                <w:sz w:val="20"/>
                <w:szCs w:val="20"/>
              </w:rPr>
            </w:pPr>
          </w:p>
          <w:p w:rsidR="00B67266" w:rsidRPr="00731BBF" w:rsidRDefault="00B67266" w:rsidP="000C1109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731BBF">
              <w:rPr>
                <w:b/>
                <w:color w:val="4F6228" w:themeColor="accent3" w:themeShade="80"/>
                <w:sz w:val="20"/>
                <w:szCs w:val="20"/>
              </w:rPr>
              <w:t>TIMELINE</w:t>
            </w: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 for Strategy b</w:t>
            </w:r>
            <w:r w:rsidRPr="00731BBF">
              <w:rPr>
                <w:b/>
                <w:color w:val="4F6228" w:themeColor="accent3" w:themeShade="80"/>
                <w:sz w:val="20"/>
                <w:szCs w:val="20"/>
              </w:rPr>
              <w:t>:</w:t>
            </w:r>
          </w:p>
          <w:p w:rsidR="00B67266" w:rsidRPr="00731BBF" w:rsidRDefault="00B67266" w:rsidP="000C1109">
            <w:pPr>
              <w:pStyle w:val="ListParagraph"/>
              <w:numPr>
                <w:ilvl w:val="0"/>
                <w:numId w:val="19"/>
              </w:numPr>
              <w:ind w:left="254" w:hanging="196"/>
              <w:rPr>
                <w:b/>
                <w:color w:val="4F6228" w:themeColor="accent3" w:themeShade="80"/>
                <w:sz w:val="20"/>
                <w:szCs w:val="20"/>
              </w:rPr>
            </w:pPr>
            <w:r w:rsidRPr="00731BBF">
              <w:rPr>
                <w:b/>
                <w:color w:val="4F6228" w:themeColor="accent3" w:themeShade="80"/>
                <w:sz w:val="20"/>
                <w:szCs w:val="20"/>
              </w:rPr>
              <w:t xml:space="preserve">Spring and summer 2018 – Work with </w:t>
            </w: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state-wide guided pathways group to reinforce this important work as adopted from the Community College Research Center, Scale of Adoption.  </w:t>
            </w:r>
          </w:p>
          <w:p w:rsidR="00B67266" w:rsidRDefault="00B67266" w:rsidP="000C1109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697E59" w:rsidRDefault="00697E59" w:rsidP="000C1109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697E59" w:rsidRDefault="00697E59" w:rsidP="000C1109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697E59" w:rsidRDefault="00697E59" w:rsidP="000C1109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697E59" w:rsidRDefault="00697E59" w:rsidP="000C1109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697E59" w:rsidRDefault="00697E59" w:rsidP="000C1109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B67266" w:rsidRPr="00C82586" w:rsidRDefault="00B67266" w:rsidP="000C1109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C82586">
              <w:rPr>
                <w:b/>
                <w:color w:val="4F6228" w:themeColor="accent3" w:themeShade="80"/>
                <w:sz w:val="20"/>
                <w:szCs w:val="20"/>
              </w:rPr>
              <w:t>TIMELINE</w:t>
            </w: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 for Strategy c</w:t>
            </w:r>
            <w:r w:rsidRPr="00C82586">
              <w:rPr>
                <w:b/>
                <w:color w:val="4F6228" w:themeColor="accent3" w:themeShade="80"/>
                <w:sz w:val="20"/>
                <w:szCs w:val="20"/>
              </w:rPr>
              <w:t xml:space="preserve">: </w:t>
            </w:r>
          </w:p>
          <w:p w:rsidR="00B67266" w:rsidRPr="001A619E" w:rsidRDefault="00B67266" w:rsidP="000C1109">
            <w:pPr>
              <w:pStyle w:val="PlainText"/>
              <w:numPr>
                <w:ilvl w:val="0"/>
                <w:numId w:val="8"/>
              </w:numPr>
              <w:tabs>
                <w:tab w:val="left" w:pos="1440"/>
              </w:tabs>
              <w:ind w:left="166" w:hanging="166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Fall 2018 - </w:t>
            </w:r>
            <w:r w:rsidRPr="001A619E">
              <w:rPr>
                <w:b/>
                <w:color w:val="4F6228" w:themeColor="accent3" w:themeShade="80"/>
                <w:sz w:val="20"/>
                <w:szCs w:val="20"/>
              </w:rPr>
              <w:t>Gather models already in use (e.g. Highline for math, SPSCC accelerated models for math and English).</w:t>
            </w:r>
          </w:p>
          <w:p w:rsidR="00B67266" w:rsidRPr="00C82586" w:rsidRDefault="00B67266" w:rsidP="000C1109">
            <w:pPr>
              <w:pStyle w:val="PlainText"/>
              <w:numPr>
                <w:ilvl w:val="0"/>
                <w:numId w:val="8"/>
              </w:numPr>
              <w:tabs>
                <w:tab w:val="left" w:pos="1440"/>
              </w:tabs>
              <w:ind w:left="166" w:hanging="166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Winter and Spring 2019</w:t>
            </w:r>
          </w:p>
          <w:p w:rsidR="00B67266" w:rsidRDefault="00B67266" w:rsidP="000C1109">
            <w:pPr>
              <w:pStyle w:val="PlainText"/>
              <w:numPr>
                <w:ilvl w:val="0"/>
                <w:numId w:val="18"/>
              </w:numPr>
              <w:tabs>
                <w:tab w:val="left" w:pos="1440"/>
              </w:tabs>
              <w:rPr>
                <w:b/>
                <w:color w:val="4F6228" w:themeColor="accent3" w:themeShade="80"/>
                <w:sz w:val="20"/>
                <w:szCs w:val="20"/>
              </w:rPr>
            </w:pPr>
            <w:r w:rsidRPr="00C82586">
              <w:rPr>
                <w:b/>
                <w:color w:val="4F6228" w:themeColor="accent3" w:themeShade="80"/>
                <w:sz w:val="20"/>
                <w:szCs w:val="20"/>
              </w:rPr>
              <w:t>Schedule through ATL professional development for fall 2018 by in-state practitioners.</w:t>
            </w:r>
          </w:p>
          <w:p w:rsidR="00B67266" w:rsidRPr="00F2416E" w:rsidRDefault="00B67266" w:rsidP="000C1109">
            <w:pPr>
              <w:rPr>
                <w:b/>
                <w:sz w:val="20"/>
                <w:szCs w:val="20"/>
              </w:rPr>
            </w:pPr>
            <w:r w:rsidRPr="00DA6937">
              <w:rPr>
                <w:b/>
                <w:color w:val="4F6228" w:themeColor="accent3" w:themeShade="80"/>
                <w:sz w:val="20"/>
                <w:szCs w:val="20"/>
              </w:rPr>
              <w:t>Develop professional development agenda and goals.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B6726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845E63">
              <w:rPr>
                <w:b/>
                <w:i/>
                <w:sz w:val="20"/>
                <w:szCs w:val="20"/>
              </w:rPr>
              <w:t xml:space="preserve">Number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 w:rsidRPr="00845E63">
              <w:rPr>
                <w:b/>
                <w:i/>
                <w:sz w:val="20"/>
                <w:szCs w:val="20"/>
              </w:rPr>
              <w:t xml:space="preserve"> award-seeking students who earn 30 college level credits</w:t>
            </w:r>
          </w:p>
          <w:p w:rsidR="00B67266" w:rsidRPr="000C1109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Disaggregated metrics for underserved student groups</w:t>
            </w:r>
          </w:p>
        </w:tc>
        <w:tc>
          <w:tcPr>
            <w:tcW w:w="2790" w:type="dxa"/>
            <w:shd w:val="clear" w:color="auto" w:fill="FFFD91"/>
          </w:tcPr>
          <w:p w:rsidR="00B67266" w:rsidRPr="00845E63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  <w:tr w:rsidR="00B67266" w:rsidRPr="00066928" w:rsidTr="00B67266">
        <w:tc>
          <w:tcPr>
            <w:tcW w:w="1440" w:type="dxa"/>
            <w:tcBorders>
              <w:top w:val="nil"/>
              <w:bottom w:val="nil"/>
            </w:tcBorders>
          </w:tcPr>
          <w:p w:rsidR="00B67266" w:rsidRPr="00066928" w:rsidRDefault="00B67266" w:rsidP="000C1109">
            <w:pPr>
              <w:pBdr>
                <w:bottom w:val="none" w:sz="0" w:space="0" w:color="auto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67266" w:rsidRPr="0095792C" w:rsidRDefault="00B67266" w:rsidP="000C1109">
            <w:pPr>
              <w:ind w:left="340" w:hanging="340"/>
              <w:rPr>
                <w:b/>
                <w:color w:val="7030A0"/>
                <w:sz w:val="20"/>
                <w:szCs w:val="20"/>
              </w:rPr>
            </w:pPr>
            <w:r w:rsidRPr="0095792C">
              <w:rPr>
                <w:b/>
                <w:color w:val="7030A0"/>
                <w:sz w:val="20"/>
                <w:szCs w:val="20"/>
              </w:rPr>
              <w:t xml:space="preserve">4.2 Increase the number of students continuing to enroll through the first 45 credits with an emphasis on </w:t>
            </w:r>
            <w:r>
              <w:rPr>
                <w:b/>
                <w:color w:val="7030A0"/>
                <w:sz w:val="20"/>
                <w:szCs w:val="20"/>
              </w:rPr>
              <w:t>eliminating</w:t>
            </w:r>
            <w:r w:rsidRPr="0095792C">
              <w:rPr>
                <w:b/>
                <w:color w:val="7030A0"/>
                <w:sz w:val="20"/>
                <w:szCs w:val="20"/>
              </w:rPr>
              <w:t xml:space="preserve"> the equity gap</w:t>
            </w:r>
            <w:r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150" w:type="dxa"/>
            <w:vMerge/>
            <w:shd w:val="clear" w:color="auto" w:fill="FDE9D9" w:themeFill="accent6" w:themeFillTint="33"/>
          </w:tcPr>
          <w:p w:rsidR="00B67266" w:rsidRPr="001A2A6D" w:rsidRDefault="00B67266" w:rsidP="000C11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FDE9D9" w:themeFill="accent6" w:themeFillTint="33"/>
          </w:tcPr>
          <w:p w:rsidR="00B67266" w:rsidRPr="00066928" w:rsidRDefault="00B67266" w:rsidP="000C1109">
            <w:pPr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B67266" w:rsidRPr="000C1109" w:rsidRDefault="00B67266" w:rsidP="0095792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0C1109">
              <w:rPr>
                <w:b/>
                <w:i/>
                <w:sz w:val="20"/>
                <w:szCs w:val="20"/>
              </w:rPr>
              <w:t xml:space="preserve">Number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 w:rsidRPr="000C1109">
              <w:rPr>
                <w:b/>
                <w:i/>
                <w:sz w:val="20"/>
                <w:szCs w:val="20"/>
              </w:rPr>
              <w:t xml:space="preserve"> award-seeking students who earn 45 college level credits </w:t>
            </w:r>
          </w:p>
          <w:p w:rsidR="00B67266" w:rsidRPr="000C1109" w:rsidRDefault="00B67266" w:rsidP="0095792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 xml:space="preserve">Disaggregated metrics for underserved student groups </w:t>
            </w:r>
          </w:p>
        </w:tc>
        <w:tc>
          <w:tcPr>
            <w:tcW w:w="2790" w:type="dxa"/>
            <w:shd w:val="clear" w:color="auto" w:fill="FFFD91"/>
          </w:tcPr>
          <w:p w:rsidR="00B67266" w:rsidRPr="000C1109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  <w:tr w:rsidR="00B67266" w:rsidRPr="00066928" w:rsidTr="00B67266">
        <w:tc>
          <w:tcPr>
            <w:tcW w:w="1440" w:type="dxa"/>
            <w:vMerge w:val="restart"/>
            <w:tcBorders>
              <w:top w:val="nil"/>
            </w:tcBorders>
          </w:tcPr>
          <w:p w:rsidR="00B67266" w:rsidRPr="00066928" w:rsidRDefault="00B67266" w:rsidP="000C1109">
            <w:pPr>
              <w:ind w:left="25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266" w:rsidRPr="0095792C" w:rsidRDefault="00B67266" w:rsidP="00823560">
            <w:pPr>
              <w:ind w:left="340" w:hanging="340"/>
              <w:rPr>
                <w:b/>
                <w:color w:val="7030A0"/>
                <w:sz w:val="20"/>
                <w:szCs w:val="20"/>
              </w:rPr>
            </w:pPr>
            <w:r w:rsidRPr="0095792C">
              <w:rPr>
                <w:b/>
                <w:color w:val="7030A0"/>
                <w:sz w:val="20"/>
                <w:szCs w:val="20"/>
              </w:rPr>
              <w:t xml:space="preserve">4.3 Increase the number of students continuing to progress year from year with an emphasis on </w:t>
            </w:r>
            <w:r>
              <w:rPr>
                <w:b/>
                <w:color w:val="7030A0"/>
                <w:sz w:val="20"/>
                <w:szCs w:val="20"/>
              </w:rPr>
              <w:t>eliminating</w:t>
            </w:r>
            <w:r w:rsidRPr="0095792C">
              <w:rPr>
                <w:b/>
                <w:color w:val="7030A0"/>
                <w:sz w:val="20"/>
                <w:szCs w:val="20"/>
              </w:rPr>
              <w:t xml:space="preserve"> the equity gap</w:t>
            </w:r>
            <w:r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7266" w:rsidRPr="001A2A6D" w:rsidRDefault="00B67266" w:rsidP="000C11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7266" w:rsidRPr="00066928" w:rsidRDefault="00B67266" w:rsidP="000C1109">
            <w:pPr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7266" w:rsidRPr="000C1109" w:rsidRDefault="00B67266" w:rsidP="0095792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0C1109">
              <w:rPr>
                <w:b/>
                <w:i/>
                <w:sz w:val="20"/>
                <w:szCs w:val="20"/>
              </w:rPr>
              <w:t xml:space="preserve">Number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 w:rsidRPr="000C1109">
              <w:rPr>
                <w:b/>
                <w:i/>
                <w:sz w:val="20"/>
                <w:szCs w:val="20"/>
              </w:rPr>
              <w:t xml:space="preserve"> award-seeking students still enrolled after one year </w:t>
            </w:r>
          </w:p>
          <w:p w:rsidR="00B67266" w:rsidRPr="000C1109" w:rsidRDefault="00B67266" w:rsidP="0095792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Disaggregated metrics for underserved student groups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D91"/>
          </w:tcPr>
          <w:p w:rsidR="00B67266" w:rsidRPr="000C1109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  <w:tr w:rsidR="00B67266" w:rsidRPr="00066928" w:rsidTr="00B67266">
        <w:trPr>
          <w:trHeight w:val="1349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67266" w:rsidRPr="00066928" w:rsidRDefault="00B67266" w:rsidP="000C1109">
            <w:pPr>
              <w:ind w:left="25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7266" w:rsidRPr="0095792C" w:rsidRDefault="00B67266" w:rsidP="000C1109">
            <w:pPr>
              <w:ind w:left="250" w:hanging="250"/>
              <w:rPr>
                <w:b/>
                <w:color w:val="7030A0"/>
                <w:sz w:val="20"/>
                <w:szCs w:val="20"/>
              </w:rPr>
            </w:pPr>
            <w:r w:rsidRPr="0095792C">
              <w:rPr>
                <w:b/>
                <w:color w:val="7030A0"/>
                <w:sz w:val="20"/>
                <w:szCs w:val="20"/>
              </w:rPr>
              <w:t xml:space="preserve">4.4 Increase the number of students who complete college level English and math within the first year with an emphasis on </w:t>
            </w:r>
            <w:r>
              <w:rPr>
                <w:b/>
                <w:color w:val="7030A0"/>
                <w:sz w:val="20"/>
                <w:szCs w:val="20"/>
              </w:rPr>
              <w:t>eliminating</w:t>
            </w:r>
            <w:r w:rsidRPr="0095792C">
              <w:rPr>
                <w:b/>
                <w:color w:val="7030A0"/>
                <w:sz w:val="20"/>
                <w:szCs w:val="20"/>
              </w:rPr>
              <w:t xml:space="preserve"> the equity gap</w:t>
            </w:r>
            <w:r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7266" w:rsidRPr="001A2A6D" w:rsidRDefault="00B67266" w:rsidP="000C11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7266" w:rsidRPr="00F2416E" w:rsidRDefault="00B67266" w:rsidP="000C110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726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A80839">
              <w:rPr>
                <w:b/>
                <w:i/>
                <w:sz w:val="20"/>
                <w:szCs w:val="20"/>
              </w:rPr>
              <w:t xml:space="preserve">umber </w:t>
            </w:r>
            <w:r w:rsidRPr="0095792C">
              <w:rPr>
                <w:b/>
                <w:i/>
                <w:sz w:val="20"/>
                <w:szCs w:val="20"/>
              </w:rPr>
              <w:t>and percent of</w:t>
            </w:r>
            <w:r w:rsidRPr="00A808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award-seeking students who finish college level English and Math in their first year</w:t>
            </w:r>
          </w:p>
          <w:p w:rsidR="00B67266" w:rsidRPr="00C82586" w:rsidRDefault="00B67266" w:rsidP="000C110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80"/>
              <w:rPr>
                <w:b/>
                <w:i/>
                <w:sz w:val="20"/>
                <w:szCs w:val="20"/>
              </w:rPr>
            </w:pPr>
            <w:r w:rsidRPr="0095792C">
              <w:rPr>
                <w:b/>
                <w:i/>
                <w:sz w:val="20"/>
                <w:szCs w:val="20"/>
              </w:rPr>
              <w:t>Disaggregated metrics for underserved student groups</w:t>
            </w:r>
            <w:r w:rsidRPr="00C8258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91"/>
          </w:tcPr>
          <w:p w:rsidR="00B67266" w:rsidRDefault="00B67266" w:rsidP="00B6726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6"/>
                <w:tab w:val="left" w:pos="2042"/>
              </w:tabs>
              <w:ind w:left="166" w:hanging="180"/>
              <w:rPr>
                <w:b/>
                <w:i/>
                <w:sz w:val="20"/>
                <w:szCs w:val="20"/>
              </w:rPr>
            </w:pPr>
          </w:p>
        </w:tc>
      </w:tr>
    </w:tbl>
    <w:p w:rsidR="001E7E8A" w:rsidRPr="00066928" w:rsidRDefault="001E7E8A" w:rsidP="00824AAC">
      <w:pPr>
        <w:rPr>
          <w:sz w:val="20"/>
          <w:szCs w:val="20"/>
        </w:rPr>
      </w:pPr>
      <w:bookmarkStart w:id="1" w:name="_gjdgxs" w:colFirst="0" w:colLast="0"/>
      <w:bookmarkEnd w:id="1"/>
    </w:p>
    <w:sectPr w:rsidR="001E7E8A" w:rsidRPr="00066928" w:rsidSect="00C06B21">
      <w:headerReference w:type="default" r:id="rId8"/>
      <w:footerReference w:type="default" r:id="rId9"/>
      <w:pgSz w:w="15840" w:h="12240" w:orient="landscape"/>
      <w:pgMar w:top="360" w:right="720" w:bottom="63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F9" w:rsidRDefault="00567CF9">
      <w:pPr>
        <w:spacing w:after="0" w:line="240" w:lineRule="auto"/>
      </w:pPr>
      <w:r>
        <w:separator/>
      </w:r>
    </w:p>
  </w:endnote>
  <w:endnote w:type="continuationSeparator" w:id="0">
    <w:p w:rsidR="00567CF9" w:rsidRDefault="0056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989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784" w:rsidRDefault="00DA27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E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416C" w:rsidRDefault="002B416C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F9" w:rsidRDefault="00567CF9">
      <w:pPr>
        <w:spacing w:after="0" w:line="240" w:lineRule="auto"/>
      </w:pPr>
      <w:r>
        <w:separator/>
      </w:r>
    </w:p>
  </w:footnote>
  <w:footnote w:type="continuationSeparator" w:id="0">
    <w:p w:rsidR="00567CF9" w:rsidRDefault="0056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6C" w:rsidRDefault="002B416C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53E"/>
    <w:multiLevelType w:val="hybridMultilevel"/>
    <w:tmpl w:val="483C7AE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61AF"/>
    <w:multiLevelType w:val="hybridMultilevel"/>
    <w:tmpl w:val="0C5ED1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22667AA"/>
    <w:multiLevelType w:val="hybridMultilevel"/>
    <w:tmpl w:val="785862E2"/>
    <w:lvl w:ilvl="0" w:tplc="04090003">
      <w:start w:val="1"/>
      <w:numFmt w:val="bullet"/>
      <w:lvlText w:val="o"/>
      <w:lvlJc w:val="left"/>
      <w:pPr>
        <w:ind w:left="5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3" w15:restartNumberingAfterBreak="0">
    <w:nsid w:val="1D42302A"/>
    <w:multiLevelType w:val="hybridMultilevel"/>
    <w:tmpl w:val="0D920860"/>
    <w:lvl w:ilvl="0" w:tplc="23224994">
      <w:start w:val="9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1EA25195"/>
    <w:multiLevelType w:val="hybridMultilevel"/>
    <w:tmpl w:val="E6421214"/>
    <w:lvl w:ilvl="0" w:tplc="A8FC65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A1DBF"/>
    <w:multiLevelType w:val="hybridMultilevel"/>
    <w:tmpl w:val="D7C2EED8"/>
    <w:lvl w:ilvl="0" w:tplc="3612C9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4F6E"/>
    <w:multiLevelType w:val="hybridMultilevel"/>
    <w:tmpl w:val="38B04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47F7E"/>
    <w:multiLevelType w:val="hybridMultilevel"/>
    <w:tmpl w:val="4ABE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1556A"/>
    <w:multiLevelType w:val="hybridMultilevel"/>
    <w:tmpl w:val="4C329BD4"/>
    <w:lvl w:ilvl="0" w:tplc="AAA85D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26800"/>
    <w:multiLevelType w:val="hybridMultilevel"/>
    <w:tmpl w:val="5EBA7AB0"/>
    <w:lvl w:ilvl="0" w:tplc="60B8FC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3146B"/>
    <w:multiLevelType w:val="hybridMultilevel"/>
    <w:tmpl w:val="06C4C854"/>
    <w:lvl w:ilvl="0" w:tplc="A5067A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DF4"/>
    <w:multiLevelType w:val="hybridMultilevel"/>
    <w:tmpl w:val="128CD780"/>
    <w:lvl w:ilvl="0" w:tplc="E384F060">
      <w:start w:val="1"/>
      <w:numFmt w:val="bullet"/>
      <w:lvlText w:val="-"/>
      <w:lvlJc w:val="left"/>
      <w:pPr>
        <w:ind w:left="961" w:hanging="360"/>
      </w:pPr>
      <w:rPr>
        <w:rFonts w:ascii="Open Sans" w:eastAsia="Calibri" w:hAnsi="Open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34107BD3"/>
    <w:multiLevelType w:val="hybridMultilevel"/>
    <w:tmpl w:val="C4348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5187"/>
    <w:multiLevelType w:val="hybridMultilevel"/>
    <w:tmpl w:val="C6902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1FC8"/>
    <w:multiLevelType w:val="hybridMultilevel"/>
    <w:tmpl w:val="06C4C854"/>
    <w:lvl w:ilvl="0" w:tplc="A5067A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25CD2"/>
    <w:multiLevelType w:val="hybridMultilevel"/>
    <w:tmpl w:val="B718B9AE"/>
    <w:lvl w:ilvl="0" w:tplc="E68C1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C6B75"/>
    <w:multiLevelType w:val="multilevel"/>
    <w:tmpl w:val="66682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426B410C"/>
    <w:multiLevelType w:val="hybridMultilevel"/>
    <w:tmpl w:val="B7641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C6857"/>
    <w:multiLevelType w:val="multilevel"/>
    <w:tmpl w:val="59408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C11664"/>
    <w:multiLevelType w:val="hybridMultilevel"/>
    <w:tmpl w:val="3A06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092A"/>
    <w:multiLevelType w:val="hybridMultilevel"/>
    <w:tmpl w:val="15EEC3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11A7"/>
    <w:multiLevelType w:val="hybridMultilevel"/>
    <w:tmpl w:val="1A848244"/>
    <w:lvl w:ilvl="0" w:tplc="EE0255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C35CF"/>
    <w:multiLevelType w:val="hybridMultilevel"/>
    <w:tmpl w:val="4ABE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06F79"/>
    <w:multiLevelType w:val="hybridMultilevel"/>
    <w:tmpl w:val="6D5A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11D6D"/>
    <w:multiLevelType w:val="hybridMultilevel"/>
    <w:tmpl w:val="664C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B4E54"/>
    <w:multiLevelType w:val="hybridMultilevel"/>
    <w:tmpl w:val="41FCE91C"/>
    <w:lvl w:ilvl="0" w:tplc="82266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D33AC"/>
    <w:multiLevelType w:val="hybridMultilevel"/>
    <w:tmpl w:val="F29A943C"/>
    <w:lvl w:ilvl="0" w:tplc="E748589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76911"/>
    <w:multiLevelType w:val="hybridMultilevel"/>
    <w:tmpl w:val="D200C686"/>
    <w:lvl w:ilvl="0" w:tplc="26284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E40A9"/>
    <w:multiLevelType w:val="hybridMultilevel"/>
    <w:tmpl w:val="FA0EA9E6"/>
    <w:lvl w:ilvl="0" w:tplc="4B3E21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D648C"/>
    <w:multiLevelType w:val="hybridMultilevel"/>
    <w:tmpl w:val="EAEE58F4"/>
    <w:lvl w:ilvl="0" w:tplc="9ED4CB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971C5"/>
    <w:multiLevelType w:val="hybridMultilevel"/>
    <w:tmpl w:val="365CB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90B05"/>
    <w:multiLevelType w:val="hybridMultilevel"/>
    <w:tmpl w:val="4ABE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007C0"/>
    <w:multiLevelType w:val="hybridMultilevel"/>
    <w:tmpl w:val="1DC46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715"/>
    <w:multiLevelType w:val="hybridMultilevel"/>
    <w:tmpl w:val="7FB482A4"/>
    <w:lvl w:ilvl="0" w:tplc="2DB6E7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F7F1A"/>
    <w:multiLevelType w:val="hybridMultilevel"/>
    <w:tmpl w:val="905CB34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28"/>
  </w:num>
  <w:num w:numId="5">
    <w:abstractNumId w:val="19"/>
  </w:num>
  <w:num w:numId="6">
    <w:abstractNumId w:val="33"/>
  </w:num>
  <w:num w:numId="7">
    <w:abstractNumId w:val="1"/>
  </w:num>
  <w:num w:numId="8">
    <w:abstractNumId w:val="6"/>
  </w:num>
  <w:num w:numId="9">
    <w:abstractNumId w:val="30"/>
  </w:num>
  <w:num w:numId="10">
    <w:abstractNumId w:val="11"/>
  </w:num>
  <w:num w:numId="11">
    <w:abstractNumId w:val="10"/>
  </w:num>
  <w:num w:numId="12">
    <w:abstractNumId w:val="17"/>
  </w:num>
  <w:num w:numId="13">
    <w:abstractNumId w:val="4"/>
  </w:num>
  <w:num w:numId="14">
    <w:abstractNumId w:val="27"/>
  </w:num>
  <w:num w:numId="15">
    <w:abstractNumId w:val="25"/>
  </w:num>
  <w:num w:numId="16">
    <w:abstractNumId w:val="9"/>
  </w:num>
  <w:num w:numId="17">
    <w:abstractNumId w:val="5"/>
  </w:num>
  <w:num w:numId="18">
    <w:abstractNumId w:val="2"/>
  </w:num>
  <w:num w:numId="19">
    <w:abstractNumId w:val="23"/>
  </w:num>
  <w:num w:numId="20">
    <w:abstractNumId w:val="13"/>
  </w:num>
  <w:num w:numId="21">
    <w:abstractNumId w:val="32"/>
  </w:num>
  <w:num w:numId="22">
    <w:abstractNumId w:val="31"/>
  </w:num>
  <w:num w:numId="23">
    <w:abstractNumId w:val="7"/>
  </w:num>
  <w:num w:numId="24">
    <w:abstractNumId w:val="22"/>
  </w:num>
  <w:num w:numId="25">
    <w:abstractNumId w:val="14"/>
  </w:num>
  <w:num w:numId="26">
    <w:abstractNumId w:val="24"/>
  </w:num>
  <w:num w:numId="27">
    <w:abstractNumId w:val="29"/>
  </w:num>
  <w:num w:numId="28">
    <w:abstractNumId w:val="8"/>
  </w:num>
  <w:num w:numId="29">
    <w:abstractNumId w:val="21"/>
  </w:num>
  <w:num w:numId="30">
    <w:abstractNumId w:val="34"/>
  </w:num>
  <w:num w:numId="31">
    <w:abstractNumId w:val="0"/>
  </w:num>
  <w:num w:numId="32">
    <w:abstractNumId w:val="26"/>
  </w:num>
  <w:num w:numId="33">
    <w:abstractNumId w:val="3"/>
  </w:num>
  <w:num w:numId="34">
    <w:abstractNumId w:val="12"/>
  </w:num>
  <w:num w:numId="3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6C"/>
    <w:rsid w:val="000121A7"/>
    <w:rsid w:val="0004283A"/>
    <w:rsid w:val="00064C77"/>
    <w:rsid w:val="00066928"/>
    <w:rsid w:val="00093EEE"/>
    <w:rsid w:val="000B1367"/>
    <w:rsid w:val="000C1109"/>
    <w:rsid w:val="000C21EA"/>
    <w:rsid w:val="000C669F"/>
    <w:rsid w:val="000D0AC0"/>
    <w:rsid w:val="000F505F"/>
    <w:rsid w:val="00181C43"/>
    <w:rsid w:val="001A1DBD"/>
    <w:rsid w:val="001A2A6D"/>
    <w:rsid w:val="001A5411"/>
    <w:rsid w:val="001E431B"/>
    <w:rsid w:val="001E747E"/>
    <w:rsid w:val="001E7E8A"/>
    <w:rsid w:val="00256CC4"/>
    <w:rsid w:val="00261D5F"/>
    <w:rsid w:val="0028057B"/>
    <w:rsid w:val="0029509B"/>
    <w:rsid w:val="002B416C"/>
    <w:rsid w:val="002F4D12"/>
    <w:rsid w:val="003121AA"/>
    <w:rsid w:val="0031486E"/>
    <w:rsid w:val="0034122E"/>
    <w:rsid w:val="00385877"/>
    <w:rsid w:val="003A17B7"/>
    <w:rsid w:val="003F7B73"/>
    <w:rsid w:val="00401CD0"/>
    <w:rsid w:val="004C1CE8"/>
    <w:rsid w:val="004D24C3"/>
    <w:rsid w:val="004E5D57"/>
    <w:rsid w:val="004F2C40"/>
    <w:rsid w:val="004F4B2B"/>
    <w:rsid w:val="00567CF9"/>
    <w:rsid w:val="00582CE6"/>
    <w:rsid w:val="00591E9E"/>
    <w:rsid w:val="005A0633"/>
    <w:rsid w:val="005B771E"/>
    <w:rsid w:val="005D42BA"/>
    <w:rsid w:val="005F1172"/>
    <w:rsid w:val="0060484C"/>
    <w:rsid w:val="006333BA"/>
    <w:rsid w:val="006348DF"/>
    <w:rsid w:val="006438D1"/>
    <w:rsid w:val="0066281C"/>
    <w:rsid w:val="00697E59"/>
    <w:rsid w:val="006B2E0E"/>
    <w:rsid w:val="006B5E3D"/>
    <w:rsid w:val="006B71CC"/>
    <w:rsid w:val="006C23EA"/>
    <w:rsid w:val="00716AC6"/>
    <w:rsid w:val="007277F0"/>
    <w:rsid w:val="007278A8"/>
    <w:rsid w:val="00762B31"/>
    <w:rsid w:val="00762F76"/>
    <w:rsid w:val="007723D3"/>
    <w:rsid w:val="007D082C"/>
    <w:rsid w:val="007E2E17"/>
    <w:rsid w:val="007E5560"/>
    <w:rsid w:val="0080257B"/>
    <w:rsid w:val="0081138D"/>
    <w:rsid w:val="008133EE"/>
    <w:rsid w:val="00823560"/>
    <w:rsid w:val="00824AAC"/>
    <w:rsid w:val="00836C2D"/>
    <w:rsid w:val="008554F3"/>
    <w:rsid w:val="00880207"/>
    <w:rsid w:val="00896B20"/>
    <w:rsid w:val="0095792C"/>
    <w:rsid w:val="009B70A7"/>
    <w:rsid w:val="009C087D"/>
    <w:rsid w:val="009D221D"/>
    <w:rsid w:val="009D278E"/>
    <w:rsid w:val="009E259A"/>
    <w:rsid w:val="009F02E5"/>
    <w:rsid w:val="00A543F2"/>
    <w:rsid w:val="00A80839"/>
    <w:rsid w:val="00AE488C"/>
    <w:rsid w:val="00B01F08"/>
    <w:rsid w:val="00B1240C"/>
    <w:rsid w:val="00B420EC"/>
    <w:rsid w:val="00B56C2C"/>
    <w:rsid w:val="00B6329A"/>
    <w:rsid w:val="00B67266"/>
    <w:rsid w:val="00B776E6"/>
    <w:rsid w:val="00BA78AC"/>
    <w:rsid w:val="00BB2F87"/>
    <w:rsid w:val="00BD02C8"/>
    <w:rsid w:val="00BF1ED8"/>
    <w:rsid w:val="00C06B21"/>
    <w:rsid w:val="00C16624"/>
    <w:rsid w:val="00C4729F"/>
    <w:rsid w:val="00C67F59"/>
    <w:rsid w:val="00C72D8C"/>
    <w:rsid w:val="00C82586"/>
    <w:rsid w:val="00C921DD"/>
    <w:rsid w:val="00C966CC"/>
    <w:rsid w:val="00C976CB"/>
    <w:rsid w:val="00D13A87"/>
    <w:rsid w:val="00D7271D"/>
    <w:rsid w:val="00D923F3"/>
    <w:rsid w:val="00DA2784"/>
    <w:rsid w:val="00DB643E"/>
    <w:rsid w:val="00DD133E"/>
    <w:rsid w:val="00E24368"/>
    <w:rsid w:val="00E54607"/>
    <w:rsid w:val="00EA2D90"/>
    <w:rsid w:val="00EB46AD"/>
    <w:rsid w:val="00EC6B5C"/>
    <w:rsid w:val="00F21A84"/>
    <w:rsid w:val="00F2416E"/>
    <w:rsid w:val="00F30759"/>
    <w:rsid w:val="00F46FF8"/>
    <w:rsid w:val="00FB6EEB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6D7064"/>
  <w15:docId w15:val="{84715B24-20F6-4EDB-9400-542430CE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1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2C"/>
  </w:style>
  <w:style w:type="paragraph" w:styleId="Footer">
    <w:name w:val="footer"/>
    <w:basedOn w:val="Normal"/>
    <w:link w:val="FooterChar"/>
    <w:uiPriority w:val="99"/>
    <w:unhideWhenUsed/>
    <w:rsid w:val="00FE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2C"/>
  </w:style>
  <w:style w:type="paragraph" w:styleId="BalloonText">
    <w:name w:val="Balloon Text"/>
    <w:basedOn w:val="Normal"/>
    <w:link w:val="BalloonTextChar"/>
    <w:uiPriority w:val="99"/>
    <w:semiHidden/>
    <w:unhideWhenUsed/>
    <w:rsid w:val="007E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6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62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2F76"/>
    <w:rPr>
      <w:rFonts w:eastAsia="Times New Roman" w:cs="Times New Roman"/>
      <w:color w:val="auto"/>
      <w:szCs w:val="21"/>
    </w:rPr>
  </w:style>
  <w:style w:type="paragraph" w:styleId="NormalWeb">
    <w:name w:val="Normal (Web)"/>
    <w:basedOn w:val="Normal"/>
    <w:uiPriority w:val="99"/>
    <w:unhideWhenUsed/>
    <w:rsid w:val="007278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16E"/>
    <w:rPr>
      <w:rFonts w:ascii="Times New Roman" w:hAnsi="Times New Roman" w:cs="Times New Roman" w:hint="default"/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E7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167E-F839-4681-A3C8-7A82CD8C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Hammer</dc:creator>
  <cp:lastModifiedBy>Joyce Hammer</cp:lastModifiedBy>
  <cp:revision>2</cp:revision>
  <cp:lastPrinted>2018-10-03T16:28:00Z</cp:lastPrinted>
  <dcterms:created xsi:type="dcterms:W3CDTF">2018-10-03T17:59:00Z</dcterms:created>
  <dcterms:modified xsi:type="dcterms:W3CDTF">2018-10-03T17:59:00Z</dcterms:modified>
</cp:coreProperties>
</file>