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4FB2" w14:textId="0126E4D8" w:rsidR="00EC638A" w:rsidRDefault="49A06AEF" w:rsidP="1E9F52BE">
      <w:pPr>
        <w:pStyle w:val="Heading1"/>
        <w:rPr>
          <w:rFonts w:ascii="Aptos Display" w:eastAsia="Aptos Display" w:hAnsi="Aptos Display" w:cs="Aptos Display"/>
          <w:sz w:val="32"/>
          <w:szCs w:val="32"/>
        </w:rPr>
      </w:pPr>
      <w:r w:rsidRPr="1E9F52BE">
        <w:rPr>
          <w:rFonts w:ascii="Aptos Display" w:eastAsia="Aptos Display" w:hAnsi="Aptos Display" w:cs="Aptos Display"/>
          <w:sz w:val="32"/>
          <w:szCs w:val="32"/>
        </w:rPr>
        <w:t>SBCTC Digital Accessibility Task Force</w:t>
      </w:r>
      <w:r w:rsidR="50BF482D" w:rsidRPr="1E9F52BE">
        <w:rPr>
          <w:rFonts w:ascii="Aptos Display" w:eastAsia="Aptos Display" w:hAnsi="Aptos Display" w:cs="Aptos Display"/>
          <w:sz w:val="32"/>
          <w:szCs w:val="32"/>
        </w:rPr>
        <w:t>:</w:t>
      </w:r>
      <w:r w:rsidRPr="1E9F52BE">
        <w:rPr>
          <w:rFonts w:ascii="Aptos Display" w:eastAsia="Aptos Display" w:hAnsi="Aptos Display" w:cs="Aptos Display"/>
          <w:sz w:val="32"/>
          <w:szCs w:val="32"/>
        </w:rPr>
        <w:t xml:space="preserve"> Mission and Key Activities </w:t>
      </w:r>
    </w:p>
    <w:p w14:paraId="0816176F" w14:textId="554100A3" w:rsidR="00EC638A" w:rsidRDefault="49A06AEF" w:rsidP="23279BDB">
      <w:pPr>
        <w:pStyle w:val="Heading2"/>
        <w:rPr>
          <w:rFonts w:ascii="Aptos Display" w:eastAsia="Aptos Display" w:hAnsi="Aptos Display" w:cs="Aptos Display"/>
        </w:rPr>
      </w:pPr>
      <w:r w:rsidRPr="23279BDB">
        <w:rPr>
          <w:rFonts w:ascii="Aptos Display" w:eastAsia="Aptos Display" w:hAnsi="Aptos Display" w:cs="Aptos Display"/>
        </w:rPr>
        <w:t>Members </w:t>
      </w:r>
    </w:p>
    <w:p w14:paraId="3C92DA04" w14:textId="79BC7561" w:rsidR="00EC638A" w:rsidRDefault="49A06AEF" w:rsidP="23279BDB">
      <w:pPr>
        <w:pStyle w:val="ListParagraph"/>
        <w:numPr>
          <w:ilvl w:val="0"/>
          <w:numId w:val="8"/>
        </w:numPr>
        <w:spacing w:after="0"/>
        <w:rPr>
          <w:rFonts w:ascii="Aptos" w:eastAsia="Aptos" w:hAnsi="Aptos" w:cs="Aptos"/>
          <w:color w:val="000000" w:themeColor="text1"/>
        </w:rPr>
      </w:pPr>
      <w:r w:rsidRPr="23279BDB">
        <w:rPr>
          <w:rFonts w:ascii="Aptos" w:eastAsia="Aptos" w:hAnsi="Aptos" w:cs="Aptos"/>
          <w:color w:val="000000" w:themeColor="text1"/>
        </w:rPr>
        <w:t>Co-chair: Monica Olsson, Policy Associate Accessible IT Coordinator (Education)</w:t>
      </w:r>
    </w:p>
    <w:p w14:paraId="539B0C11" w14:textId="2DCD7FA9" w:rsidR="00EC638A" w:rsidRDefault="49A06AEF" w:rsidP="23279BDB">
      <w:pPr>
        <w:pStyle w:val="ListParagraph"/>
        <w:numPr>
          <w:ilvl w:val="0"/>
          <w:numId w:val="7"/>
        </w:numPr>
        <w:spacing w:after="0"/>
        <w:rPr>
          <w:rFonts w:ascii="Aptos" w:eastAsia="Aptos" w:hAnsi="Aptos" w:cs="Aptos"/>
          <w:color w:val="000000" w:themeColor="text1"/>
        </w:rPr>
      </w:pPr>
      <w:r w:rsidRPr="23279BDB">
        <w:rPr>
          <w:rFonts w:ascii="Aptos" w:eastAsia="Aptos" w:hAnsi="Aptos" w:cs="Aptos"/>
          <w:color w:val="000000" w:themeColor="text1"/>
        </w:rPr>
        <w:t>Co-chair: Meridith Hatch, Website Administrator (Information Technology)</w:t>
      </w:r>
    </w:p>
    <w:p w14:paraId="562FD675" w14:textId="248B5B24" w:rsidR="00EC638A" w:rsidRDefault="49A06AEF" w:rsidP="23279BDB">
      <w:pPr>
        <w:pStyle w:val="ListParagraph"/>
        <w:numPr>
          <w:ilvl w:val="0"/>
          <w:numId w:val="6"/>
        </w:numPr>
        <w:spacing w:after="0"/>
        <w:rPr>
          <w:rFonts w:ascii="Aptos" w:eastAsia="Aptos" w:hAnsi="Aptos" w:cs="Aptos"/>
          <w:color w:val="000000" w:themeColor="text1"/>
        </w:rPr>
      </w:pPr>
      <w:r w:rsidRPr="23279BDB">
        <w:rPr>
          <w:rFonts w:ascii="Aptos" w:eastAsia="Aptos" w:hAnsi="Aptos" w:cs="Aptos"/>
          <w:color w:val="000000" w:themeColor="text1"/>
        </w:rPr>
        <w:t>Member: Carrie Powell, PMO Team Project Manager (Information Technology)</w:t>
      </w:r>
    </w:p>
    <w:p w14:paraId="7E605484" w14:textId="32AE3122" w:rsidR="00EC638A" w:rsidRDefault="49A06AEF" w:rsidP="23279BDB">
      <w:pPr>
        <w:pStyle w:val="ListParagraph"/>
        <w:numPr>
          <w:ilvl w:val="0"/>
          <w:numId w:val="5"/>
        </w:numPr>
        <w:spacing w:after="0"/>
        <w:rPr>
          <w:rFonts w:ascii="Aptos" w:eastAsia="Aptos" w:hAnsi="Aptos" w:cs="Aptos"/>
          <w:color w:val="000000" w:themeColor="text1"/>
        </w:rPr>
      </w:pPr>
      <w:r w:rsidRPr="23279BDB">
        <w:rPr>
          <w:rFonts w:ascii="Aptos" w:eastAsia="Aptos" w:hAnsi="Aptos" w:cs="Aptos"/>
          <w:color w:val="000000" w:themeColor="text1"/>
        </w:rPr>
        <w:t xml:space="preserve">Member: Josh </w:t>
      </w:r>
      <w:proofErr w:type="spellStart"/>
      <w:r w:rsidRPr="23279BDB">
        <w:rPr>
          <w:rFonts w:ascii="Aptos" w:eastAsia="Aptos" w:hAnsi="Aptos" w:cs="Aptos"/>
          <w:color w:val="000000" w:themeColor="text1"/>
        </w:rPr>
        <w:t>Giha</w:t>
      </w:r>
      <w:proofErr w:type="spellEnd"/>
      <w:r w:rsidRPr="23279BDB">
        <w:rPr>
          <w:rFonts w:ascii="Aptos" w:eastAsia="Aptos" w:hAnsi="Aptos" w:cs="Aptos"/>
          <w:color w:val="000000" w:themeColor="text1"/>
        </w:rPr>
        <w:t xml:space="preserve">, PeopleSoft Developer &amp; Support Engineer (Information Technology) </w:t>
      </w:r>
    </w:p>
    <w:p w14:paraId="72179ED4" w14:textId="765EF9F1" w:rsidR="00EC638A" w:rsidRDefault="49A06AEF" w:rsidP="23279BDB">
      <w:pPr>
        <w:pStyle w:val="ListParagraph"/>
        <w:numPr>
          <w:ilvl w:val="0"/>
          <w:numId w:val="4"/>
        </w:numPr>
        <w:spacing w:after="0"/>
        <w:rPr>
          <w:rFonts w:ascii="Aptos" w:eastAsia="Aptos" w:hAnsi="Aptos" w:cs="Aptos"/>
          <w:color w:val="000000" w:themeColor="text1"/>
        </w:rPr>
      </w:pPr>
      <w:r w:rsidRPr="23279BDB">
        <w:rPr>
          <w:rFonts w:ascii="Aptos" w:eastAsia="Aptos" w:hAnsi="Aptos" w:cs="Aptos"/>
          <w:color w:val="000000" w:themeColor="text1"/>
        </w:rPr>
        <w:t>Advisory member: Julie Huss, Human Resources Director (Business Operations)</w:t>
      </w:r>
    </w:p>
    <w:p w14:paraId="384A3D5A" w14:textId="2DE55C0C" w:rsidR="00EC638A" w:rsidRDefault="49A06AEF" w:rsidP="23279BDB">
      <w:pPr>
        <w:pStyle w:val="ListParagraph"/>
        <w:numPr>
          <w:ilvl w:val="0"/>
          <w:numId w:val="3"/>
        </w:numPr>
        <w:spacing w:after="0"/>
        <w:rPr>
          <w:rFonts w:ascii="Aptos" w:eastAsia="Aptos" w:hAnsi="Aptos" w:cs="Aptos"/>
          <w:color w:val="000000" w:themeColor="text1"/>
        </w:rPr>
      </w:pPr>
      <w:r w:rsidRPr="23279BDB">
        <w:rPr>
          <w:rFonts w:ascii="Aptos" w:eastAsia="Aptos" w:hAnsi="Aptos" w:cs="Aptos"/>
          <w:color w:val="000000" w:themeColor="text1"/>
        </w:rPr>
        <w:t>Advisory member: Ha Nguyen, Deputy Executive Director, Strategic Initiatives (Executive Cabinet)</w:t>
      </w:r>
    </w:p>
    <w:p w14:paraId="27625366" w14:textId="62C5FA7A" w:rsidR="00EC638A" w:rsidRDefault="49A06AEF" w:rsidP="23279BDB">
      <w:pPr>
        <w:pStyle w:val="ListParagraph"/>
        <w:numPr>
          <w:ilvl w:val="0"/>
          <w:numId w:val="3"/>
        </w:numPr>
        <w:spacing w:after="0"/>
        <w:rPr>
          <w:rFonts w:ascii="Aptos" w:eastAsia="Aptos" w:hAnsi="Aptos" w:cs="Aptos"/>
          <w:color w:val="000000" w:themeColor="text1"/>
        </w:rPr>
      </w:pPr>
      <w:r w:rsidRPr="23279BDB">
        <w:rPr>
          <w:rFonts w:ascii="Aptos" w:eastAsia="Aptos" w:hAnsi="Aptos" w:cs="Aptos"/>
          <w:b/>
          <w:bCs/>
          <w:color w:val="000000" w:themeColor="text1"/>
        </w:rPr>
        <w:t>One vacancy</w:t>
      </w:r>
      <w:r w:rsidRPr="23279BDB">
        <w:rPr>
          <w:rFonts w:ascii="Aptos" w:eastAsia="Aptos" w:hAnsi="Aptos" w:cs="Aptos"/>
          <w:color w:val="000000" w:themeColor="text1"/>
        </w:rPr>
        <w:t xml:space="preserve"> reserved for Education Division representative</w:t>
      </w:r>
    </w:p>
    <w:p w14:paraId="5952B12C" w14:textId="3972D613" w:rsidR="00EC638A" w:rsidRDefault="49A06AEF" w:rsidP="23279BDB">
      <w:pPr>
        <w:pStyle w:val="ListParagraph"/>
        <w:numPr>
          <w:ilvl w:val="0"/>
          <w:numId w:val="3"/>
        </w:numPr>
        <w:spacing w:after="0"/>
        <w:rPr>
          <w:rFonts w:ascii="Aptos" w:eastAsia="Aptos" w:hAnsi="Aptos" w:cs="Aptos"/>
          <w:color w:val="000000" w:themeColor="text1"/>
        </w:rPr>
      </w:pPr>
      <w:r w:rsidRPr="23279BDB">
        <w:rPr>
          <w:rFonts w:ascii="Aptos" w:eastAsia="Aptos" w:hAnsi="Aptos" w:cs="Aptos"/>
          <w:b/>
          <w:bCs/>
          <w:color w:val="000000" w:themeColor="text1"/>
        </w:rPr>
        <w:t xml:space="preserve">One vacancy </w:t>
      </w:r>
      <w:r w:rsidRPr="23279BDB">
        <w:rPr>
          <w:rFonts w:ascii="Aptos" w:eastAsia="Aptos" w:hAnsi="Aptos" w:cs="Aptos"/>
          <w:color w:val="000000" w:themeColor="text1"/>
        </w:rPr>
        <w:t xml:space="preserve">reserved for Business Operations representative </w:t>
      </w:r>
    </w:p>
    <w:p w14:paraId="07E812D0" w14:textId="7F7165F8" w:rsidR="00EC638A" w:rsidRDefault="49A06AEF" w:rsidP="23279BDB">
      <w:pPr>
        <w:pStyle w:val="Heading2"/>
        <w:rPr>
          <w:rFonts w:ascii="Aptos Display" w:eastAsia="Aptos Display" w:hAnsi="Aptos Display" w:cs="Aptos Display"/>
        </w:rPr>
      </w:pPr>
      <w:r w:rsidRPr="23279BDB">
        <w:rPr>
          <w:rFonts w:ascii="Aptos Display" w:eastAsia="Aptos Display" w:hAnsi="Aptos Display" w:cs="Aptos Display"/>
        </w:rPr>
        <w:t>Mission Statement </w:t>
      </w:r>
    </w:p>
    <w:p w14:paraId="01455418" w14:textId="1E3C1888" w:rsidR="00EC638A" w:rsidRDefault="49A06AEF" w:rsidP="1E9F52BE">
      <w:pPr>
        <w:spacing w:after="0"/>
        <w:rPr>
          <w:rFonts w:ascii="Aptos" w:eastAsia="Aptos" w:hAnsi="Aptos" w:cs="Aptos"/>
          <w:color w:val="000000" w:themeColor="text1"/>
        </w:rPr>
      </w:pPr>
      <w:r w:rsidRPr="1E9F52BE">
        <w:rPr>
          <w:rFonts w:ascii="Aptos" w:eastAsia="Aptos" w:hAnsi="Aptos" w:cs="Aptos"/>
          <w:color w:val="000000" w:themeColor="text1"/>
        </w:rPr>
        <w:t>The SBCTC Digital Accessibility Task Force will guide the agency in complying with Web and Mobile Accessibility standards and deadlines as defined in the U.S. Department of Justice’s 2024 ruling on Title II of the Americans with Disabilities Act (ADA).</w:t>
      </w:r>
    </w:p>
    <w:p w14:paraId="49CDB0FC" w14:textId="0F9979F1" w:rsidR="00EC638A" w:rsidRDefault="49A06AEF" w:rsidP="1E9F52BE">
      <w:pPr>
        <w:pStyle w:val="Heading2"/>
        <w:spacing w:after="0"/>
        <w:rPr>
          <w:rFonts w:ascii="Aptos Display" w:eastAsia="Aptos Display" w:hAnsi="Aptos Display" w:cs="Aptos Display"/>
        </w:rPr>
      </w:pPr>
      <w:r w:rsidRPr="1E9F52BE">
        <w:rPr>
          <w:rFonts w:ascii="Aptos Display" w:eastAsia="Aptos Display" w:hAnsi="Aptos Display" w:cs="Aptos Display"/>
        </w:rPr>
        <w:t>Key Activities </w:t>
      </w:r>
    </w:p>
    <w:p w14:paraId="678D960B" w14:textId="54233BB0" w:rsidR="00EC638A" w:rsidRDefault="2FA97842" w:rsidP="1E9F52BE">
      <w:pPr>
        <w:spacing w:after="0"/>
      </w:pPr>
      <w:r>
        <w:t>This task force will develop and guide the implementation of a comprehensive digital accessibility plan for the agency</w:t>
      </w:r>
      <w:r w:rsidR="33B14926">
        <w:t xml:space="preserve"> that addresses: </w:t>
      </w:r>
      <w:r w:rsidR="49A06AEF">
        <w:t xml:space="preserve"> </w:t>
      </w:r>
    </w:p>
    <w:p w14:paraId="67AA850E" w14:textId="7560C71C" w:rsidR="00EC638A" w:rsidRDefault="49A06AEF" w:rsidP="1E9F52BE">
      <w:pPr>
        <w:pStyle w:val="ListParagraph"/>
        <w:numPr>
          <w:ilvl w:val="0"/>
          <w:numId w:val="2"/>
        </w:numPr>
      </w:pPr>
      <w:r>
        <w:t xml:space="preserve">Agency digital assets </w:t>
      </w:r>
    </w:p>
    <w:p w14:paraId="2C078E63" w14:textId="51458C2C" w:rsidR="00EC638A" w:rsidRDefault="49A06AEF" w:rsidP="1E9F52BE">
      <w:pPr>
        <w:pStyle w:val="ListParagraph"/>
        <w:numPr>
          <w:ilvl w:val="0"/>
          <w:numId w:val="2"/>
        </w:numPr>
      </w:pPr>
      <w:r>
        <w:t>Digital accessibility policy and process including IT procurement</w:t>
      </w:r>
    </w:p>
    <w:p w14:paraId="2BF57D3A" w14:textId="21AF26A0" w:rsidR="4AD2B8FE" w:rsidRDefault="4AD2B8FE" w:rsidP="1E9F52BE">
      <w:pPr>
        <w:pStyle w:val="ListParagraph"/>
        <w:numPr>
          <w:ilvl w:val="0"/>
          <w:numId w:val="2"/>
        </w:numPr>
      </w:pPr>
      <w:r>
        <w:t>Employee training</w:t>
      </w:r>
    </w:p>
    <w:p w14:paraId="3E20536C" w14:textId="5362DA82" w:rsidR="1E9F52BE" w:rsidRDefault="1E9F52BE" w:rsidP="1E9F52BE">
      <w:pPr>
        <w:pStyle w:val="ListParagraph"/>
      </w:pPr>
    </w:p>
    <w:p w14:paraId="528967D8" w14:textId="5530CB0A" w:rsidR="49A06AEF" w:rsidRDefault="49A06AEF" w:rsidP="1E9F52BE">
      <w:pPr>
        <w:spacing w:after="0"/>
        <w:rPr>
          <w:rFonts w:ascii="Aptos" w:eastAsia="Aptos" w:hAnsi="Aptos" w:cs="Aptos"/>
          <w:color w:val="000000" w:themeColor="text1"/>
        </w:rPr>
      </w:pPr>
      <w:r w:rsidRPr="1E9F52BE">
        <w:rPr>
          <w:rFonts w:ascii="Aptos" w:eastAsia="Aptos" w:hAnsi="Aptos" w:cs="Aptos"/>
          <w:color w:val="000000" w:themeColor="text1"/>
        </w:rPr>
        <w:t>Th</w:t>
      </w:r>
      <w:r w:rsidR="366E97BB" w:rsidRPr="1E9F52BE">
        <w:rPr>
          <w:rFonts w:ascii="Aptos" w:eastAsia="Aptos" w:hAnsi="Aptos" w:cs="Aptos"/>
          <w:color w:val="000000" w:themeColor="text1"/>
        </w:rPr>
        <w:t>e</w:t>
      </w:r>
      <w:r w:rsidRPr="1E9F52BE">
        <w:rPr>
          <w:rFonts w:ascii="Aptos" w:eastAsia="Aptos" w:hAnsi="Aptos" w:cs="Aptos"/>
          <w:color w:val="000000" w:themeColor="text1"/>
        </w:rPr>
        <w:t xml:space="preserve"> plan will:  </w:t>
      </w:r>
    </w:p>
    <w:p w14:paraId="1C068CA3" w14:textId="6B53F99F" w:rsidR="49A06AEF" w:rsidRDefault="49A06AEF" w:rsidP="1E9F52BE">
      <w:pPr>
        <w:pStyle w:val="ListParagraph"/>
        <w:numPr>
          <w:ilvl w:val="0"/>
          <w:numId w:val="1"/>
        </w:numPr>
        <w:spacing w:after="0"/>
        <w:rPr>
          <w:rFonts w:ascii="Aptos" w:eastAsia="Aptos" w:hAnsi="Aptos" w:cs="Aptos"/>
          <w:color w:val="000000" w:themeColor="text1"/>
        </w:rPr>
      </w:pPr>
      <w:r w:rsidRPr="1E9F52BE">
        <w:rPr>
          <w:rFonts w:ascii="Aptos" w:eastAsia="Aptos" w:hAnsi="Aptos" w:cs="Aptos"/>
          <w:color w:val="000000" w:themeColor="text1"/>
        </w:rPr>
        <w:t xml:space="preserve">Align with the Washington State Digital Accessibility Policy </w:t>
      </w:r>
      <w:hyperlink r:id="rId8">
        <w:proofErr w:type="spellStart"/>
        <w:r w:rsidRPr="1E9F52BE">
          <w:rPr>
            <w:rStyle w:val="Hyperlink"/>
            <w:rFonts w:ascii="Aptos" w:eastAsia="Aptos" w:hAnsi="Aptos" w:cs="Aptos"/>
          </w:rPr>
          <w:t>WaTech</w:t>
        </w:r>
        <w:proofErr w:type="spellEnd"/>
        <w:r w:rsidRPr="1E9F52BE">
          <w:rPr>
            <w:rStyle w:val="Hyperlink"/>
            <w:rFonts w:ascii="Aptos" w:eastAsia="Aptos" w:hAnsi="Aptos" w:cs="Aptos"/>
          </w:rPr>
          <w:t xml:space="preserve"> USER-01</w:t>
        </w:r>
      </w:hyperlink>
      <w:r w:rsidRPr="1E9F52BE">
        <w:rPr>
          <w:rFonts w:ascii="Aptos" w:eastAsia="Aptos" w:hAnsi="Aptos" w:cs="Aptos"/>
          <w:color w:val="000000" w:themeColor="text1"/>
        </w:rPr>
        <w:t>.</w:t>
      </w:r>
    </w:p>
    <w:p w14:paraId="5F079401" w14:textId="26016279" w:rsidR="49A06AEF" w:rsidRDefault="49A06AEF" w:rsidP="1E9F52BE">
      <w:pPr>
        <w:pStyle w:val="ListParagraph"/>
        <w:numPr>
          <w:ilvl w:val="0"/>
          <w:numId w:val="1"/>
        </w:numPr>
        <w:spacing w:after="0"/>
        <w:rPr>
          <w:rFonts w:ascii="Aptos" w:eastAsia="Aptos" w:hAnsi="Aptos" w:cs="Aptos"/>
          <w:color w:val="000000" w:themeColor="text1"/>
        </w:rPr>
      </w:pPr>
      <w:r w:rsidRPr="1E9F52BE">
        <w:rPr>
          <w:rFonts w:ascii="Aptos" w:eastAsia="Aptos" w:hAnsi="Aptos" w:cs="Aptos"/>
          <w:color w:val="000000" w:themeColor="text1"/>
        </w:rPr>
        <w:t xml:space="preserve">Inform updates and revisions to the current SBCTC Digital Accessibility Policy (2014). </w:t>
      </w:r>
    </w:p>
    <w:p w14:paraId="508A0815" w14:textId="600453DF" w:rsidR="49A06AEF" w:rsidRDefault="49A06AEF" w:rsidP="1E9F52BE">
      <w:pPr>
        <w:pStyle w:val="ListParagraph"/>
        <w:numPr>
          <w:ilvl w:val="0"/>
          <w:numId w:val="1"/>
        </w:numPr>
        <w:spacing w:after="0"/>
        <w:rPr>
          <w:rFonts w:ascii="Aptos" w:eastAsia="Aptos" w:hAnsi="Aptos" w:cs="Aptos"/>
          <w:color w:val="000000" w:themeColor="text1"/>
        </w:rPr>
      </w:pPr>
      <w:r w:rsidRPr="1E9F52BE">
        <w:rPr>
          <w:rFonts w:ascii="Aptos" w:eastAsia="Aptos" w:hAnsi="Aptos" w:cs="Aptos"/>
          <w:color w:val="000000" w:themeColor="text1"/>
        </w:rPr>
        <w:t xml:space="preserve">Recommend minimum training requirements for all agency staff. </w:t>
      </w:r>
    </w:p>
    <w:p w14:paraId="3D31BF44" w14:textId="49CBC0AB" w:rsidR="49A06AEF" w:rsidRDefault="49A06AEF" w:rsidP="1E9F52BE">
      <w:pPr>
        <w:pStyle w:val="ListParagraph"/>
        <w:numPr>
          <w:ilvl w:val="0"/>
          <w:numId w:val="1"/>
        </w:numPr>
        <w:spacing w:after="0"/>
        <w:rPr>
          <w:rFonts w:ascii="Aptos" w:eastAsia="Aptos" w:hAnsi="Aptos" w:cs="Aptos"/>
          <w:color w:val="000000" w:themeColor="text1"/>
        </w:rPr>
      </w:pPr>
      <w:r w:rsidRPr="1E9F52BE">
        <w:rPr>
          <w:rFonts w:ascii="Aptos" w:eastAsia="Aptos" w:hAnsi="Aptos" w:cs="Aptos"/>
          <w:color w:val="000000" w:themeColor="text1"/>
        </w:rPr>
        <w:t>Coordinate creation of a central repository list of agency digital assets.</w:t>
      </w:r>
    </w:p>
    <w:p w14:paraId="71E1EAB7" w14:textId="6E0C500B" w:rsidR="49A06AEF" w:rsidRDefault="49A06AEF" w:rsidP="1E9F52BE">
      <w:pPr>
        <w:pStyle w:val="ListParagraph"/>
        <w:numPr>
          <w:ilvl w:val="0"/>
          <w:numId w:val="1"/>
        </w:numPr>
        <w:spacing w:after="0"/>
        <w:rPr>
          <w:rFonts w:ascii="Aptos" w:eastAsia="Aptos" w:hAnsi="Aptos" w:cs="Aptos"/>
          <w:color w:val="000000" w:themeColor="text1"/>
        </w:rPr>
      </w:pPr>
      <w:r w:rsidRPr="1E9F52BE">
        <w:rPr>
          <w:rFonts w:ascii="Aptos" w:eastAsia="Aptos" w:hAnsi="Aptos" w:cs="Aptos"/>
          <w:color w:val="000000" w:themeColor="text1"/>
        </w:rPr>
        <w:t xml:space="preserve">Identify current procurement practices that impact the agency’s ability to acquire and deploy accessible technology; recommend policy revisions to define and enforce accessibility compliance for all software and digital tools.  </w:t>
      </w:r>
    </w:p>
    <w:p w14:paraId="7B8C9562" w14:textId="6ABE592C" w:rsidR="49A06AEF" w:rsidRDefault="49A06AEF" w:rsidP="1E9F52BE">
      <w:pPr>
        <w:pStyle w:val="ListParagraph"/>
        <w:numPr>
          <w:ilvl w:val="0"/>
          <w:numId w:val="1"/>
        </w:numPr>
        <w:spacing w:after="0"/>
        <w:rPr>
          <w:rFonts w:ascii="Aptos" w:eastAsia="Aptos" w:hAnsi="Aptos" w:cs="Aptos"/>
          <w:color w:val="000000" w:themeColor="text1"/>
        </w:rPr>
      </w:pPr>
      <w:r w:rsidRPr="1E9F52BE">
        <w:rPr>
          <w:rFonts w:ascii="Aptos" w:eastAsia="Aptos" w:hAnsi="Aptos" w:cs="Aptos"/>
          <w:color w:val="000000" w:themeColor="text1"/>
        </w:rPr>
        <w:lastRenderedPageBreak/>
        <w:t>Provide a timeline, milestones, and success criteria for each of the items mentioned above.</w:t>
      </w:r>
    </w:p>
    <w:p w14:paraId="7DBA3B96" w14:textId="70B5975C" w:rsidR="1E9F52BE" w:rsidRDefault="1E9F52BE" w:rsidP="1E9F52BE"/>
    <w:sectPr w:rsidR="1E9F5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B4D55"/>
    <w:multiLevelType w:val="multilevel"/>
    <w:tmpl w:val="033A3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0D95FB"/>
    <w:multiLevelType w:val="multilevel"/>
    <w:tmpl w:val="F200B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C69F0E1"/>
    <w:multiLevelType w:val="hybridMultilevel"/>
    <w:tmpl w:val="6CA2DA3C"/>
    <w:lvl w:ilvl="0" w:tplc="D9C01ED8">
      <w:start w:val="1"/>
      <w:numFmt w:val="decimal"/>
      <w:lvlText w:val="%1."/>
      <w:lvlJc w:val="left"/>
      <w:pPr>
        <w:ind w:left="720" w:hanging="360"/>
      </w:pPr>
    </w:lvl>
    <w:lvl w:ilvl="1" w:tplc="9D0076E6">
      <w:start w:val="1"/>
      <w:numFmt w:val="lowerLetter"/>
      <w:lvlText w:val="%2."/>
      <w:lvlJc w:val="left"/>
      <w:pPr>
        <w:ind w:left="1440" w:hanging="360"/>
      </w:pPr>
    </w:lvl>
    <w:lvl w:ilvl="2" w:tplc="D068D920">
      <w:start w:val="1"/>
      <w:numFmt w:val="lowerRoman"/>
      <w:lvlText w:val="%3."/>
      <w:lvlJc w:val="right"/>
      <w:pPr>
        <w:ind w:left="2160" w:hanging="180"/>
      </w:pPr>
    </w:lvl>
    <w:lvl w:ilvl="3" w:tplc="5FCA22D2">
      <w:start w:val="1"/>
      <w:numFmt w:val="decimal"/>
      <w:lvlText w:val="%4."/>
      <w:lvlJc w:val="left"/>
      <w:pPr>
        <w:ind w:left="2880" w:hanging="360"/>
      </w:pPr>
    </w:lvl>
    <w:lvl w:ilvl="4" w:tplc="29AE423E">
      <w:start w:val="1"/>
      <w:numFmt w:val="lowerLetter"/>
      <w:lvlText w:val="%5."/>
      <w:lvlJc w:val="left"/>
      <w:pPr>
        <w:ind w:left="3600" w:hanging="360"/>
      </w:pPr>
    </w:lvl>
    <w:lvl w:ilvl="5" w:tplc="9370A270">
      <w:start w:val="1"/>
      <w:numFmt w:val="lowerRoman"/>
      <w:lvlText w:val="%6."/>
      <w:lvlJc w:val="right"/>
      <w:pPr>
        <w:ind w:left="4320" w:hanging="180"/>
      </w:pPr>
    </w:lvl>
    <w:lvl w:ilvl="6" w:tplc="1AF2237A">
      <w:start w:val="1"/>
      <w:numFmt w:val="decimal"/>
      <w:lvlText w:val="%7."/>
      <w:lvlJc w:val="left"/>
      <w:pPr>
        <w:ind w:left="5040" w:hanging="360"/>
      </w:pPr>
    </w:lvl>
    <w:lvl w:ilvl="7" w:tplc="6FDE0404">
      <w:start w:val="1"/>
      <w:numFmt w:val="lowerLetter"/>
      <w:lvlText w:val="%8."/>
      <w:lvlJc w:val="left"/>
      <w:pPr>
        <w:ind w:left="5760" w:hanging="360"/>
      </w:pPr>
    </w:lvl>
    <w:lvl w:ilvl="8" w:tplc="4AEEF6FC">
      <w:start w:val="1"/>
      <w:numFmt w:val="lowerRoman"/>
      <w:lvlText w:val="%9."/>
      <w:lvlJc w:val="right"/>
      <w:pPr>
        <w:ind w:left="6480" w:hanging="180"/>
      </w:pPr>
    </w:lvl>
  </w:abstractNum>
  <w:abstractNum w:abstractNumId="3" w15:restartNumberingAfterBreak="0">
    <w:nsid w:val="5600F56C"/>
    <w:multiLevelType w:val="multilevel"/>
    <w:tmpl w:val="6D4C94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408A29"/>
    <w:multiLevelType w:val="multilevel"/>
    <w:tmpl w:val="B6382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C01050"/>
    <w:multiLevelType w:val="hybridMultilevel"/>
    <w:tmpl w:val="90F44C1A"/>
    <w:lvl w:ilvl="0" w:tplc="D9B827BA">
      <w:start w:val="1"/>
      <w:numFmt w:val="bullet"/>
      <w:lvlText w:val=""/>
      <w:lvlJc w:val="left"/>
      <w:pPr>
        <w:ind w:left="720" w:hanging="360"/>
      </w:pPr>
      <w:rPr>
        <w:rFonts w:ascii="Symbol" w:hAnsi="Symbol" w:hint="default"/>
      </w:rPr>
    </w:lvl>
    <w:lvl w:ilvl="1" w:tplc="97BA50AC">
      <w:start w:val="1"/>
      <w:numFmt w:val="bullet"/>
      <w:lvlText w:val="o"/>
      <w:lvlJc w:val="left"/>
      <w:pPr>
        <w:ind w:left="1440" w:hanging="360"/>
      </w:pPr>
      <w:rPr>
        <w:rFonts w:ascii="Courier New" w:hAnsi="Courier New" w:hint="default"/>
      </w:rPr>
    </w:lvl>
    <w:lvl w:ilvl="2" w:tplc="2E26AD6E">
      <w:start w:val="1"/>
      <w:numFmt w:val="bullet"/>
      <w:lvlText w:val=""/>
      <w:lvlJc w:val="left"/>
      <w:pPr>
        <w:ind w:left="2160" w:hanging="360"/>
      </w:pPr>
      <w:rPr>
        <w:rFonts w:ascii="Wingdings" w:hAnsi="Wingdings" w:hint="default"/>
      </w:rPr>
    </w:lvl>
    <w:lvl w:ilvl="3" w:tplc="CF28E676">
      <w:start w:val="1"/>
      <w:numFmt w:val="bullet"/>
      <w:lvlText w:val=""/>
      <w:lvlJc w:val="left"/>
      <w:pPr>
        <w:ind w:left="2880" w:hanging="360"/>
      </w:pPr>
      <w:rPr>
        <w:rFonts w:ascii="Symbol" w:hAnsi="Symbol" w:hint="default"/>
      </w:rPr>
    </w:lvl>
    <w:lvl w:ilvl="4" w:tplc="D1AC6074">
      <w:start w:val="1"/>
      <w:numFmt w:val="bullet"/>
      <w:lvlText w:val="o"/>
      <w:lvlJc w:val="left"/>
      <w:pPr>
        <w:ind w:left="3600" w:hanging="360"/>
      </w:pPr>
      <w:rPr>
        <w:rFonts w:ascii="Courier New" w:hAnsi="Courier New" w:hint="default"/>
      </w:rPr>
    </w:lvl>
    <w:lvl w:ilvl="5" w:tplc="98C2E91A">
      <w:start w:val="1"/>
      <w:numFmt w:val="bullet"/>
      <w:lvlText w:val=""/>
      <w:lvlJc w:val="left"/>
      <w:pPr>
        <w:ind w:left="4320" w:hanging="360"/>
      </w:pPr>
      <w:rPr>
        <w:rFonts w:ascii="Wingdings" w:hAnsi="Wingdings" w:hint="default"/>
      </w:rPr>
    </w:lvl>
    <w:lvl w:ilvl="6" w:tplc="4A2CE3E8">
      <w:start w:val="1"/>
      <w:numFmt w:val="bullet"/>
      <w:lvlText w:val=""/>
      <w:lvlJc w:val="left"/>
      <w:pPr>
        <w:ind w:left="5040" w:hanging="360"/>
      </w:pPr>
      <w:rPr>
        <w:rFonts w:ascii="Symbol" w:hAnsi="Symbol" w:hint="default"/>
      </w:rPr>
    </w:lvl>
    <w:lvl w:ilvl="7" w:tplc="CC9035CC">
      <w:start w:val="1"/>
      <w:numFmt w:val="bullet"/>
      <w:lvlText w:val="o"/>
      <w:lvlJc w:val="left"/>
      <w:pPr>
        <w:ind w:left="5760" w:hanging="360"/>
      </w:pPr>
      <w:rPr>
        <w:rFonts w:ascii="Courier New" w:hAnsi="Courier New" w:hint="default"/>
      </w:rPr>
    </w:lvl>
    <w:lvl w:ilvl="8" w:tplc="24EE267E">
      <w:start w:val="1"/>
      <w:numFmt w:val="bullet"/>
      <w:lvlText w:val=""/>
      <w:lvlJc w:val="left"/>
      <w:pPr>
        <w:ind w:left="6480" w:hanging="360"/>
      </w:pPr>
      <w:rPr>
        <w:rFonts w:ascii="Wingdings" w:hAnsi="Wingdings" w:hint="default"/>
      </w:rPr>
    </w:lvl>
  </w:abstractNum>
  <w:abstractNum w:abstractNumId="6" w15:restartNumberingAfterBreak="0">
    <w:nsid w:val="7D9E6BB7"/>
    <w:multiLevelType w:val="multilevel"/>
    <w:tmpl w:val="DD3CC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9F6899"/>
    <w:multiLevelType w:val="multilevel"/>
    <w:tmpl w:val="5B94B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115833">
    <w:abstractNumId w:val="2"/>
  </w:num>
  <w:num w:numId="2" w16cid:durableId="901519570">
    <w:abstractNumId w:val="5"/>
  </w:num>
  <w:num w:numId="3" w16cid:durableId="138159334">
    <w:abstractNumId w:val="0"/>
  </w:num>
  <w:num w:numId="4" w16cid:durableId="2022200709">
    <w:abstractNumId w:val="7"/>
  </w:num>
  <w:num w:numId="5" w16cid:durableId="963265902">
    <w:abstractNumId w:val="4"/>
  </w:num>
  <w:num w:numId="6" w16cid:durableId="1565601098">
    <w:abstractNumId w:val="3"/>
  </w:num>
  <w:num w:numId="7" w16cid:durableId="1053624226">
    <w:abstractNumId w:val="1"/>
  </w:num>
  <w:num w:numId="8" w16cid:durableId="903292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1CB233"/>
    <w:rsid w:val="004A70DF"/>
    <w:rsid w:val="00CD4162"/>
    <w:rsid w:val="00EC638A"/>
    <w:rsid w:val="05345DAB"/>
    <w:rsid w:val="07A09B3D"/>
    <w:rsid w:val="0BE51B7D"/>
    <w:rsid w:val="1E9F52BE"/>
    <w:rsid w:val="2032BFB4"/>
    <w:rsid w:val="23279BDB"/>
    <w:rsid w:val="2FA97842"/>
    <w:rsid w:val="33B14926"/>
    <w:rsid w:val="366E97BB"/>
    <w:rsid w:val="3F1CB233"/>
    <w:rsid w:val="427DB5C7"/>
    <w:rsid w:val="496A2F8C"/>
    <w:rsid w:val="49A06AEF"/>
    <w:rsid w:val="49EFA17F"/>
    <w:rsid w:val="4AD2B8FE"/>
    <w:rsid w:val="4CC7D6DF"/>
    <w:rsid w:val="50BF482D"/>
    <w:rsid w:val="57A0E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CB233"/>
  <w15:chartTrackingRefBased/>
  <w15:docId w15:val="{1F18EF0A-DAC1-4A96-AFE9-75161F0D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3279BDB"/>
    <w:pPr>
      <w:ind w:left="720"/>
      <w:contextualSpacing/>
    </w:pPr>
  </w:style>
  <w:style w:type="character" w:styleId="Hyperlink">
    <w:name w:val="Hyperlink"/>
    <w:basedOn w:val="DefaultParagraphFont"/>
    <w:uiPriority w:val="99"/>
    <w:unhideWhenUsed/>
    <w:rsid w:val="1E9F52B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ch.wa.gov/sites/default/files/2025-01/USER%20-01%20Digital%20Accessibility%20Polic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D8E3CA5AC1F14FA7A3341DF327337B" ma:contentTypeVersion="3" ma:contentTypeDescription="Create a new document." ma:contentTypeScope="" ma:versionID="02c2b60c3f103904fbc79556d095ceb2">
  <xsd:schema xmlns:xsd="http://www.w3.org/2001/XMLSchema" xmlns:xs="http://www.w3.org/2001/XMLSchema" xmlns:p="http://schemas.microsoft.com/office/2006/metadata/properties" xmlns:ns2="e3f78283-5221-41bd-977a-ad9032f272b6" targetNamespace="http://schemas.microsoft.com/office/2006/metadata/properties" ma:root="true" ma:fieldsID="42e42571dc050a7ba1d5b029ddb65a0f" ns2:_="">
    <xsd:import namespace="e3f78283-5221-41bd-977a-ad9032f272b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78283-5221-41bd-977a-ad9032f27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EB0E9-9872-45F4-B825-78892A1208C1}">
  <ds:schemaRefs>
    <ds:schemaRef ds:uri="http://schemas.microsoft.com/sharepoint/v3/contenttype/forms"/>
  </ds:schemaRefs>
</ds:datastoreItem>
</file>

<file path=customXml/itemProps2.xml><?xml version="1.0" encoding="utf-8"?>
<ds:datastoreItem xmlns:ds="http://schemas.openxmlformats.org/officeDocument/2006/customXml" ds:itemID="{A0A63BA2-3F26-4CAB-8C39-B0E80284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78283-5221-41bd-977a-ad9032f27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80BC7-2E97-4ABA-9FA5-0386D801D322}">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e3f78283-5221-41bd-977a-ad9032f272b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Powell</dc:creator>
  <cp:keywords/>
  <dc:description/>
  <cp:lastModifiedBy>Monica Olsson</cp:lastModifiedBy>
  <cp:revision>2</cp:revision>
  <dcterms:created xsi:type="dcterms:W3CDTF">2025-04-14T21:42:00Z</dcterms:created>
  <dcterms:modified xsi:type="dcterms:W3CDTF">2025-04-14T21:42:00Z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0x010100F7D8E3CA5AC1F14FA7A3341DF327337B</vt:lpwstr>
  </property>
</Properties>
</file>